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C95" w:rsidRDefault="00546C95" w:rsidP="00546C95">
      <w:pPr>
        <w:pStyle w:val="Style1"/>
        <w:kinsoku w:val="0"/>
        <w:autoSpaceDE/>
        <w:adjustRightInd/>
        <w:spacing w:line="360" w:lineRule="auto"/>
        <w:ind w:right="1151"/>
        <w:jc w:val="center"/>
        <w:rPr>
          <w:rStyle w:val="CharacterStyle2"/>
          <w:b/>
          <w:spacing w:val="3"/>
          <w:sz w:val="28"/>
          <w:szCs w:val="28"/>
        </w:rPr>
      </w:pPr>
      <w:bookmarkStart w:id="0" w:name="_GoBack"/>
      <w:bookmarkEnd w:id="0"/>
      <w:r>
        <w:rPr>
          <w:rStyle w:val="CharacterStyle2"/>
          <w:b/>
          <w:spacing w:val="3"/>
          <w:sz w:val="28"/>
          <w:szCs w:val="28"/>
        </w:rPr>
        <w:t>R</w:t>
      </w:r>
      <w:r w:rsidR="00426117">
        <w:rPr>
          <w:rStyle w:val="CharacterStyle2"/>
          <w:b/>
          <w:spacing w:val="3"/>
          <w:sz w:val="28"/>
          <w:szCs w:val="28"/>
        </w:rPr>
        <w:t>IFORMA DEL PROCESSO TRIBUTARIO</w:t>
      </w:r>
    </w:p>
    <w:p w:rsidR="006E47CA" w:rsidRDefault="006E47CA" w:rsidP="00546C95">
      <w:pPr>
        <w:pStyle w:val="Style1"/>
        <w:kinsoku w:val="0"/>
        <w:autoSpaceDE/>
        <w:adjustRightInd/>
        <w:spacing w:line="480" w:lineRule="exact"/>
        <w:ind w:right="1151"/>
        <w:jc w:val="both"/>
        <w:rPr>
          <w:rStyle w:val="CharacterStyle2"/>
          <w:spacing w:val="3"/>
          <w:sz w:val="24"/>
          <w:szCs w:val="24"/>
          <w:highlight w:val="yellow"/>
        </w:rPr>
      </w:pPr>
    </w:p>
    <w:p w:rsidR="00546C95" w:rsidRPr="006E47CA" w:rsidRDefault="00764891" w:rsidP="00546C95">
      <w:pPr>
        <w:pStyle w:val="Style1"/>
        <w:kinsoku w:val="0"/>
        <w:autoSpaceDE/>
        <w:adjustRightInd/>
        <w:spacing w:line="480" w:lineRule="exact"/>
        <w:ind w:right="1151"/>
        <w:jc w:val="both"/>
        <w:rPr>
          <w:rStyle w:val="CharacterStyle2"/>
          <w:b/>
          <w:spacing w:val="3"/>
          <w:sz w:val="24"/>
          <w:szCs w:val="24"/>
        </w:rPr>
      </w:pPr>
      <w:r w:rsidRPr="006E47CA">
        <w:rPr>
          <w:rStyle w:val="CharacterStyle2"/>
          <w:b/>
          <w:spacing w:val="3"/>
          <w:sz w:val="24"/>
          <w:szCs w:val="24"/>
        </w:rPr>
        <w:t xml:space="preserve">Il </w:t>
      </w:r>
      <w:r w:rsidR="006E47CA" w:rsidRPr="006E47CA">
        <w:rPr>
          <w:rStyle w:val="CharacterStyle2"/>
          <w:b/>
          <w:spacing w:val="3"/>
          <w:sz w:val="24"/>
          <w:szCs w:val="24"/>
        </w:rPr>
        <w:t>Ministero dell'economia e delle finanze</w:t>
      </w:r>
      <w:r w:rsidRPr="006E47CA">
        <w:rPr>
          <w:rStyle w:val="CharacterStyle2"/>
          <w:b/>
          <w:spacing w:val="3"/>
          <w:sz w:val="24"/>
          <w:szCs w:val="24"/>
        </w:rPr>
        <w:t xml:space="preserve"> deve </w:t>
      </w:r>
      <w:r w:rsidR="006E47CA" w:rsidRPr="006E47CA">
        <w:rPr>
          <w:rStyle w:val="CharacterStyle2"/>
          <w:b/>
          <w:spacing w:val="3"/>
          <w:sz w:val="24"/>
          <w:szCs w:val="24"/>
        </w:rPr>
        <w:t>emettere subito i due</w:t>
      </w:r>
      <w:r w:rsidRPr="006E47CA">
        <w:rPr>
          <w:rStyle w:val="CharacterStyle2"/>
          <w:b/>
          <w:spacing w:val="3"/>
          <w:sz w:val="24"/>
          <w:szCs w:val="24"/>
        </w:rPr>
        <w:t xml:space="preserve"> decreti </w:t>
      </w:r>
      <w:r w:rsidRPr="001B156F">
        <w:rPr>
          <w:rStyle w:val="CharacterStyle2"/>
          <w:b/>
          <w:spacing w:val="3"/>
          <w:sz w:val="24"/>
          <w:szCs w:val="24"/>
        </w:rPr>
        <w:t>ministeriali</w:t>
      </w:r>
      <w:r w:rsidR="001B156F" w:rsidRPr="001B156F">
        <w:rPr>
          <w:b/>
        </w:rPr>
        <w:t xml:space="preserve"> </w:t>
      </w:r>
      <w:r w:rsidR="001B156F" w:rsidRPr="001B156F">
        <w:rPr>
          <w:b/>
          <w:sz w:val="24"/>
          <w:szCs w:val="24"/>
        </w:rPr>
        <w:t>previsti dal</w:t>
      </w:r>
      <w:r w:rsidR="001B156F" w:rsidRPr="001B156F">
        <w:rPr>
          <w:sz w:val="24"/>
          <w:szCs w:val="24"/>
        </w:rPr>
        <w:t xml:space="preserve"> </w:t>
      </w:r>
      <w:r w:rsidR="001B156F" w:rsidRPr="001B156F">
        <w:rPr>
          <w:rStyle w:val="CharacterStyle2"/>
          <w:b/>
          <w:spacing w:val="3"/>
          <w:sz w:val="24"/>
          <w:szCs w:val="24"/>
        </w:rPr>
        <w:t>D.Lgs. n. 156/2015</w:t>
      </w:r>
      <w:r w:rsidR="001B156F">
        <w:rPr>
          <w:rStyle w:val="CharacterStyle2"/>
          <w:b/>
          <w:spacing w:val="3"/>
          <w:sz w:val="24"/>
          <w:szCs w:val="24"/>
        </w:rPr>
        <w:t>:</w:t>
      </w:r>
    </w:p>
    <w:p w:rsidR="00A75D2E" w:rsidRPr="00154CFB" w:rsidRDefault="00764891" w:rsidP="00546C95">
      <w:pPr>
        <w:pStyle w:val="Style1"/>
        <w:kinsoku w:val="0"/>
        <w:autoSpaceDE/>
        <w:adjustRightInd/>
        <w:spacing w:line="480" w:lineRule="exact"/>
        <w:ind w:right="1151"/>
        <w:jc w:val="both"/>
        <w:rPr>
          <w:rStyle w:val="CharacterStyle2"/>
          <w:b/>
          <w:spacing w:val="3"/>
          <w:sz w:val="24"/>
          <w:szCs w:val="24"/>
        </w:rPr>
      </w:pPr>
      <w:r w:rsidRPr="00D56813">
        <w:rPr>
          <w:rStyle w:val="CharacterStyle2"/>
          <w:b/>
          <w:spacing w:val="3"/>
          <w:sz w:val="24"/>
          <w:szCs w:val="24"/>
        </w:rPr>
        <w:t>1)</w:t>
      </w:r>
      <w:r w:rsidRPr="00D56813">
        <w:rPr>
          <w:rStyle w:val="CharacterStyle2"/>
          <w:spacing w:val="3"/>
          <w:sz w:val="24"/>
          <w:szCs w:val="24"/>
        </w:rPr>
        <w:t xml:space="preserve"> Con la Riforma del Processo Tributario </w:t>
      </w:r>
      <w:r w:rsidR="00D56813" w:rsidRPr="00D56813">
        <w:rPr>
          <w:rStyle w:val="CharacterStyle2"/>
          <w:spacing w:val="3"/>
          <w:sz w:val="24"/>
          <w:szCs w:val="24"/>
        </w:rPr>
        <w:t>di cui all’art. 9 de</w:t>
      </w:r>
      <w:r w:rsidR="00C048BF" w:rsidRPr="00D56813">
        <w:rPr>
          <w:rStyle w:val="CharacterStyle2"/>
          <w:spacing w:val="3"/>
          <w:sz w:val="24"/>
          <w:szCs w:val="24"/>
        </w:rPr>
        <w:t>l D.Lgs. n. 156 del 24 settembre 2015 pubblicato in G. U. n. 233 del 07/10/201</w:t>
      </w:r>
      <w:r w:rsidR="00D56813" w:rsidRPr="00D56813">
        <w:rPr>
          <w:rStyle w:val="CharacterStyle2"/>
          <w:spacing w:val="3"/>
          <w:sz w:val="24"/>
          <w:szCs w:val="24"/>
        </w:rPr>
        <w:t>5 – Supplemento ordinario n. 55</w:t>
      </w:r>
      <w:r w:rsidR="00C048BF" w:rsidRPr="00D56813">
        <w:rPr>
          <w:rStyle w:val="CharacterStyle2"/>
          <w:spacing w:val="3"/>
          <w:sz w:val="24"/>
          <w:szCs w:val="24"/>
        </w:rPr>
        <w:t xml:space="preserve"> </w:t>
      </w:r>
      <w:r w:rsidRPr="00D56813">
        <w:rPr>
          <w:rStyle w:val="CharacterStyle2"/>
          <w:spacing w:val="3"/>
          <w:sz w:val="24"/>
          <w:szCs w:val="24"/>
        </w:rPr>
        <w:t>sono stati modificati</w:t>
      </w:r>
      <w:r w:rsidR="00D56813" w:rsidRPr="00D56813">
        <w:rPr>
          <w:rStyle w:val="CharacterStyle2"/>
          <w:spacing w:val="3"/>
          <w:sz w:val="24"/>
          <w:szCs w:val="24"/>
        </w:rPr>
        <w:t xml:space="preserve"> tra i tanti</w:t>
      </w:r>
      <w:r w:rsidRPr="00D56813">
        <w:rPr>
          <w:rStyle w:val="CharacterStyle2"/>
          <w:spacing w:val="3"/>
          <w:sz w:val="24"/>
          <w:szCs w:val="24"/>
        </w:rPr>
        <w:t xml:space="preserve"> gli </w:t>
      </w:r>
      <w:r w:rsidRPr="00154CFB">
        <w:rPr>
          <w:rStyle w:val="CharacterStyle2"/>
          <w:b/>
          <w:spacing w:val="3"/>
          <w:sz w:val="24"/>
          <w:szCs w:val="24"/>
        </w:rPr>
        <w:t>articoli 12 e 69 de</w:t>
      </w:r>
      <w:r w:rsidR="00C048BF" w:rsidRPr="00154CFB">
        <w:rPr>
          <w:rStyle w:val="CharacterStyle2"/>
          <w:b/>
          <w:spacing w:val="3"/>
          <w:sz w:val="24"/>
          <w:szCs w:val="24"/>
        </w:rPr>
        <w:t xml:space="preserve">l </w:t>
      </w:r>
      <w:r w:rsidR="005C6033" w:rsidRPr="00154CFB">
        <w:rPr>
          <w:rStyle w:val="CharacterStyle2"/>
          <w:b/>
          <w:spacing w:val="3"/>
          <w:sz w:val="24"/>
          <w:szCs w:val="24"/>
        </w:rPr>
        <w:t>decreto legislativo 31 dicembre 1992, n. 546</w:t>
      </w:r>
      <w:r w:rsidR="00D56813" w:rsidRPr="00154CFB">
        <w:rPr>
          <w:rStyle w:val="CharacterStyle2"/>
          <w:b/>
          <w:spacing w:val="3"/>
          <w:sz w:val="24"/>
          <w:szCs w:val="24"/>
        </w:rPr>
        <w:t>:</w:t>
      </w:r>
    </w:p>
    <w:p w:rsidR="00764891" w:rsidRPr="00AB7AEB" w:rsidRDefault="00B474FF" w:rsidP="00546C95">
      <w:pPr>
        <w:pStyle w:val="Style1"/>
        <w:kinsoku w:val="0"/>
        <w:autoSpaceDE/>
        <w:adjustRightInd/>
        <w:spacing w:line="480" w:lineRule="exact"/>
        <w:ind w:right="1151"/>
        <w:jc w:val="both"/>
        <w:rPr>
          <w:rStyle w:val="CharacterStyle2"/>
          <w:b/>
          <w:spacing w:val="3"/>
          <w:sz w:val="24"/>
          <w:szCs w:val="24"/>
          <w:lang w:val="en-US"/>
        </w:rPr>
      </w:pPr>
      <w:r>
        <w:rPr>
          <w:rStyle w:val="CharacterStyle2"/>
          <w:b/>
          <w:spacing w:val="3"/>
          <w:sz w:val="24"/>
          <w:szCs w:val="24"/>
          <w:lang w:val="en-US"/>
        </w:rPr>
        <w:t>2) ART</w:t>
      </w:r>
      <w:r w:rsidR="00B003A1">
        <w:rPr>
          <w:rStyle w:val="CharacterStyle2"/>
          <w:b/>
          <w:spacing w:val="3"/>
          <w:sz w:val="24"/>
          <w:szCs w:val="24"/>
          <w:lang w:val="en-US"/>
        </w:rPr>
        <w:t>. 12 DEL D.LGS. N</w:t>
      </w:r>
      <w:r w:rsidR="00A75D2E" w:rsidRPr="00AB7AEB">
        <w:rPr>
          <w:rStyle w:val="CharacterStyle2"/>
          <w:b/>
          <w:spacing w:val="3"/>
          <w:sz w:val="24"/>
          <w:szCs w:val="24"/>
          <w:lang w:val="en-US"/>
        </w:rPr>
        <w:t>. 546/92</w:t>
      </w:r>
      <w:r w:rsidR="00C048BF" w:rsidRPr="00AB7AEB">
        <w:rPr>
          <w:rStyle w:val="CharacterStyle2"/>
          <w:b/>
          <w:spacing w:val="3"/>
          <w:sz w:val="24"/>
          <w:szCs w:val="24"/>
          <w:lang w:val="en-US"/>
        </w:rPr>
        <w:t xml:space="preserve"> </w:t>
      </w:r>
      <w:r w:rsidR="00764891" w:rsidRPr="00AB7AEB">
        <w:rPr>
          <w:rStyle w:val="CharacterStyle2"/>
          <w:b/>
          <w:spacing w:val="3"/>
          <w:sz w:val="24"/>
          <w:szCs w:val="24"/>
          <w:lang w:val="en-US"/>
        </w:rPr>
        <w:t xml:space="preserve"> </w:t>
      </w:r>
    </w:p>
    <w:p w:rsidR="005A30F4" w:rsidRDefault="00B003A1" w:rsidP="00AD4302">
      <w:pPr>
        <w:pStyle w:val="Style1"/>
        <w:kinsoku w:val="0"/>
        <w:spacing w:line="480" w:lineRule="exact"/>
        <w:ind w:right="1151"/>
        <w:jc w:val="both"/>
        <w:rPr>
          <w:rStyle w:val="CharacterStyle2"/>
          <w:b/>
          <w:spacing w:val="3"/>
          <w:sz w:val="24"/>
          <w:szCs w:val="24"/>
        </w:rPr>
      </w:pPr>
      <w:r>
        <w:rPr>
          <w:rStyle w:val="CharacterStyle2"/>
          <w:b/>
          <w:spacing w:val="3"/>
          <w:sz w:val="24"/>
          <w:szCs w:val="24"/>
        </w:rPr>
        <w:t>A</w:t>
      </w:r>
      <w:r w:rsidR="006913E0">
        <w:rPr>
          <w:rStyle w:val="CharacterStyle2"/>
          <w:b/>
          <w:spacing w:val="3"/>
          <w:sz w:val="24"/>
          <w:szCs w:val="24"/>
        </w:rPr>
        <w:t>SSISTENZA</w:t>
      </w:r>
      <w:r>
        <w:rPr>
          <w:rStyle w:val="CharacterStyle2"/>
          <w:b/>
          <w:spacing w:val="3"/>
          <w:sz w:val="24"/>
          <w:szCs w:val="24"/>
        </w:rPr>
        <w:t xml:space="preserve"> T</w:t>
      </w:r>
      <w:r w:rsidR="006913E0">
        <w:rPr>
          <w:rStyle w:val="CharacterStyle2"/>
          <w:b/>
          <w:spacing w:val="3"/>
          <w:sz w:val="24"/>
          <w:szCs w:val="24"/>
        </w:rPr>
        <w:t>ECNICA</w:t>
      </w:r>
      <w:r w:rsidR="00AD4302" w:rsidRPr="00AD4302">
        <w:rPr>
          <w:rStyle w:val="CharacterStyle2"/>
          <w:b/>
          <w:spacing w:val="3"/>
          <w:sz w:val="24"/>
          <w:szCs w:val="24"/>
        </w:rPr>
        <w:t xml:space="preserve">   </w:t>
      </w:r>
    </w:p>
    <w:p w:rsidR="00AD4302" w:rsidRPr="00AD4302" w:rsidRDefault="009845D8" w:rsidP="00AD4302">
      <w:pPr>
        <w:pStyle w:val="Style1"/>
        <w:kinsoku w:val="0"/>
        <w:spacing w:line="480" w:lineRule="exact"/>
        <w:ind w:right="1151"/>
        <w:jc w:val="both"/>
        <w:rPr>
          <w:rStyle w:val="CharacterStyle2"/>
          <w:spacing w:val="3"/>
          <w:sz w:val="24"/>
          <w:szCs w:val="24"/>
        </w:rPr>
      </w:pPr>
      <w:r>
        <w:rPr>
          <w:rStyle w:val="CharacterStyle2"/>
          <w:spacing w:val="3"/>
          <w:sz w:val="24"/>
          <w:szCs w:val="24"/>
        </w:rPr>
        <w:t xml:space="preserve">La </w:t>
      </w:r>
      <w:r w:rsidR="00AD4302" w:rsidRPr="00AD4302">
        <w:rPr>
          <w:rStyle w:val="CharacterStyle2"/>
          <w:spacing w:val="3"/>
          <w:sz w:val="24"/>
          <w:szCs w:val="24"/>
        </w:rPr>
        <w:t>disposizione in esame ribadisce la regola generale dell'obbligatorietà dell'assistenza tecnica nelle controversie tributarie, salvo i casi di contenziosi di modico valore.</w:t>
      </w:r>
    </w:p>
    <w:p w:rsidR="00AD4302" w:rsidRP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Non sono, invece, tenuti a dotarsi di difensore abilitato gli enti impositori, gli agenti della riscossione e i soggetti di cui all'articolo 53 del decreto legislativo n. 446 del 1997. Con riguardo ai contenziosi di modico valore, il nuovo articolo 12 eleva a 3.000 euro il limite entro il quale i contribuenti possono stare in giudizio personalmente. Per l'individuazione del valore si conferma l'attuale criterio in base al quale il valore è determinato dall'importo del tributo al netto degli interessi e delle eventuali sanzioni irrogate con l'atto impugnato; in caso di controversie aventi ad oggetto esclusivamente irrogazioni di sanzioni, il valore è costituito dalla somma di queste.</w:t>
      </w:r>
    </w:p>
    <w:p w:rsidR="00AD4302" w:rsidRP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Il giudice, come più volte ha chiarito la Corte di Cassazione (sentenza n. 8025/2015 ed altre), deve ordinare alla parte di munirsi di assistenza tecnica fissando un termine entro il quale è tenuta a conferire l’incarico ad un difensore, quando il valore della causa supera i 3.000,00 euro.</w:t>
      </w:r>
    </w:p>
    <w:p w:rsidR="00AD4302" w:rsidRP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L’inammissibilità può essere pronunciata solo dopo la mancata osservanza dell’ordine del giudice.</w:t>
      </w:r>
    </w:p>
    <w:p w:rsidR="00AD4302" w:rsidRP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 xml:space="preserve">I commi 3, 5 e 6 dell’articolo 12 elencano distintamente le categorie di soggetti </w:t>
      </w:r>
      <w:r w:rsidRPr="00AD4302">
        <w:rPr>
          <w:rStyle w:val="CharacterStyle2"/>
          <w:spacing w:val="3"/>
          <w:sz w:val="24"/>
          <w:szCs w:val="24"/>
        </w:rPr>
        <w:lastRenderedPageBreak/>
        <w:t>abilitati all'assistenza tecnica davanti alle Commissioni tributarie, operando una differenziazione tra:</w:t>
      </w:r>
    </w:p>
    <w:p w:rsidR="00AD4302" w:rsidRP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w:t>
      </w:r>
      <w:r w:rsidRPr="00AD4302">
        <w:rPr>
          <w:rStyle w:val="CharacterStyle2"/>
          <w:spacing w:val="3"/>
          <w:sz w:val="24"/>
          <w:szCs w:val="24"/>
        </w:rPr>
        <w:tab/>
        <w:t>coloro che possono assistere i contribuenti nella generalità delle controversie, chiarendo che sono abilitati all’assistenza tecnica tutti i soggetti iscritti nella Sezione A commercialisti dell’Albo dei dottori commercial</w:t>
      </w:r>
      <w:r w:rsidR="00576FC2">
        <w:rPr>
          <w:rStyle w:val="CharacterStyle2"/>
          <w:spacing w:val="3"/>
          <w:sz w:val="24"/>
          <w:szCs w:val="24"/>
        </w:rPr>
        <w:t>isti e degli esperti contabili;</w:t>
      </w:r>
    </w:p>
    <w:p w:rsidR="00AD4302" w:rsidRP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w:t>
      </w:r>
      <w:r w:rsidRPr="00AD4302">
        <w:rPr>
          <w:rStyle w:val="CharacterStyle2"/>
          <w:spacing w:val="3"/>
          <w:sz w:val="24"/>
          <w:szCs w:val="24"/>
        </w:rPr>
        <w:tab/>
        <w:t>coloro che sono abilitati alla difesa con riguardo a controversie aventi ad oggetto materie specifiche;</w:t>
      </w:r>
    </w:p>
    <w:p w:rsidR="00AD4302" w:rsidRP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w:t>
      </w:r>
      <w:r w:rsidRPr="00AD4302">
        <w:rPr>
          <w:rStyle w:val="CharacterStyle2"/>
          <w:spacing w:val="3"/>
          <w:sz w:val="24"/>
          <w:szCs w:val="24"/>
        </w:rPr>
        <w:tab/>
        <w:t>coloro che possono assistere esclusivamente alcune categorie di contribuenti.</w:t>
      </w:r>
    </w:p>
    <w:p w:rsidR="00AD4302" w:rsidRP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 xml:space="preserve">In particolare, con riguardo a tale ultima categoria, il comma 3 attribuisce anche ai dipendenti dei CAF di cui all'articolo 32 del decreto legislativo 9 luglio 1997, n. 241, e delle relative società di servizi, la difesa innanzi alle Commissioni tributarie. </w:t>
      </w:r>
    </w:p>
    <w:p w:rsidR="00AD4302" w:rsidRP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 xml:space="preserve">I predetti dipendenti possono difendere esclusivamente i propri assistiti in contenziosi tributari che scaturiscono dall'attività di assistenza loro prestata dal CAF (ad es. rettifica della detrazione di spese mediche esposte in dichiarazione compilata e trasmessa dal CAF). </w:t>
      </w:r>
    </w:p>
    <w:p w:rsidR="00AD4302" w:rsidRP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La disposizione, tuttavia, prevede che i dipendenti dei CAF, per esercitare la difesa tecnica devono essere in possesso congiuntamente dei seguenti requisiti di professionalità:</w:t>
      </w:r>
    </w:p>
    <w:p w:rsidR="00AD4302" w:rsidRP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w:t>
      </w:r>
      <w:r w:rsidRPr="00AD4302">
        <w:rPr>
          <w:rStyle w:val="CharacterStyle2"/>
          <w:spacing w:val="3"/>
          <w:sz w:val="24"/>
          <w:szCs w:val="24"/>
        </w:rPr>
        <w:tab/>
        <w:t>diploma di laurea magistrale in giurisprudenza o in economia ed equipollenti, o del diploma di ragioneria;</w:t>
      </w:r>
    </w:p>
    <w:p w:rsidR="00AD4302" w:rsidRP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w:t>
      </w:r>
      <w:r w:rsidRPr="00AD4302">
        <w:rPr>
          <w:rStyle w:val="CharacterStyle2"/>
          <w:spacing w:val="3"/>
          <w:sz w:val="24"/>
          <w:szCs w:val="24"/>
        </w:rPr>
        <w:tab/>
        <w:t>relativa abilitazione professionale.</w:t>
      </w:r>
    </w:p>
    <w:p w:rsidR="00AD4302" w:rsidRP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Le disposizioni contenute nel comma 4 dell'articolo 12 affidano al Dipartimento delle finanze il compito di gestire gli elenchi dei soggetti di cui alle lettere d), e), f), g) ed h) del comma 3.</w:t>
      </w:r>
    </w:p>
    <w:p w:rsidR="00AD4302" w:rsidRP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L'accentramento delle procedure in capo al solo Dipartimento delle finanze di funzioni, attualmente ripartite tra il Ministero dell'economia e delle finanze e l'Agenzia delle entrate, risponde all'esigenza di garantire imparzialità ed una maggiore efficienza nella gestione di detti elenchi.</w:t>
      </w:r>
    </w:p>
    <w:p w:rsidR="00AD4302" w:rsidRP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 xml:space="preserve">Lo stesso comma 4 dell'articolo 12 del decreto prevede l'adozione di un regolamento </w:t>
      </w:r>
      <w:r w:rsidRPr="00AD4302">
        <w:rPr>
          <w:rStyle w:val="CharacterStyle2"/>
          <w:spacing w:val="3"/>
          <w:sz w:val="24"/>
          <w:szCs w:val="24"/>
        </w:rPr>
        <w:lastRenderedPageBreak/>
        <w:t xml:space="preserve">del Ministro dell'Economia e delle finanze, sentito il Ministero della Giustizia, ai sensi dell'articolo 17 comma 3 della legge 23 agosto 1988, n. 400, al fine di disciplinare le modalità di tenuta dell'elenco in esame ed individuare i casi di incompatibilità, di diniego, di sospensione e di revoca della iscrizione all'elenco. </w:t>
      </w:r>
    </w:p>
    <w:p w:rsidR="00AD4302" w:rsidRP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 xml:space="preserve">Per la definizione delle suddette fattispecie si dovrà tenere conto dei principi contenuti nel codice deontologico forense, atteso che nell'ambito dell'assistenza tecnica l'attività defensionale propria dell'avvocatura risulta essere prevalente. </w:t>
      </w:r>
    </w:p>
    <w:p w:rsidR="00AD4302" w:rsidRP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Si prevede, altresì, che il citato elenco, opportunamente aggiornato, sia pubblicato nel sito internet del Ministero dell'economia e delle finanze al fine di renderlo costantemente conoscibile dalle parti processuali, dal collegio giudicante e dai terzi.</w:t>
      </w:r>
    </w:p>
    <w:p w:rsidR="00AD4302" w:rsidRP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Fino all’approvazione del decreto restano applicabili le disposizioni previgenti di cui all’art. 12.</w:t>
      </w:r>
    </w:p>
    <w:p w:rsidR="00AD4302" w:rsidRP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Il comma 10 dell'articolo 12 disciplina le ipotesi di difetto di rappresentanza o di autorizzazione, rinviando alle disposizioni contenute nell'articolo 182 del c.p.c, in base alle quali il giudice invita le parti a regolarizzare gli atti e documenti, assegnando un termine perentorio entro il quale è possibile sanare i relativi vizi, con efficacia retroattiva. Inoltre, il comma citato prevede che la predetta attività può essere svolta dal Presidente della Commissione ovvero della sezione e dal collegio. Al fine di evitare l'inutile prolungamento dei tempi del giudizio, si è anticipato quanto più possibile la regolarizzazione dell'eventuale vizio dell'atto processuale (ad es. difetto di procura alla lite) attribuendo indifferentemente l'iniziativa per la regolarizzazione già al Presidente della Commissione o della sezione (oltre che al collegio).</w:t>
      </w:r>
    </w:p>
    <w:p w:rsidR="00AD4302" w:rsidRP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 xml:space="preserve">La declaratoria di inammissibilità del ricorso potrà essere pronunciata dal giudice tributario soltanto all'esito dell'inottemperanza all'invito formulato alla parte a provvedere. Ciò in conformità a quanto ripetutamente statuito dalla Corte di Cassazione, la quale ha precisato che, soltanto se l'invito del giudice risulta infruttuoso, quest'ultimo deve dichiarare invalida la costituzione della parte in giudizio (da ultimo: Cass. civ. Sez. III, 11-09-2014, n. 19169 e 22-05-2014, n. </w:t>
      </w:r>
      <w:r w:rsidRPr="00AD4302">
        <w:rPr>
          <w:rStyle w:val="CharacterStyle2"/>
          <w:spacing w:val="3"/>
          <w:sz w:val="24"/>
          <w:szCs w:val="24"/>
        </w:rPr>
        <w:lastRenderedPageBreak/>
        <w:t>11359).</w:t>
      </w:r>
    </w:p>
    <w:p w:rsidR="00AD4302" w:rsidRP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Le Agenzie delle Entrate, delle Dogane e dei Monopoli di cui al decreto legislativo n. 300 del 30/07/1999 possono essere assistite dall’Avvocatura dello Stato.</w:t>
      </w:r>
    </w:p>
    <w:p w:rsidR="00AD4302" w:rsidRP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Infine, la mancata certificazione dell’autografia da parte del difensore non è stata ritenuta dalla giurisprudenza ragione di nullità.</w:t>
      </w:r>
    </w:p>
    <w:p w:rsidR="00AD4302" w:rsidRDefault="00AD4302" w:rsidP="00AD4302">
      <w:pPr>
        <w:pStyle w:val="Style1"/>
        <w:kinsoku w:val="0"/>
        <w:spacing w:line="480" w:lineRule="exact"/>
        <w:ind w:right="1151"/>
        <w:jc w:val="both"/>
        <w:rPr>
          <w:rStyle w:val="CharacterStyle2"/>
          <w:spacing w:val="3"/>
          <w:sz w:val="24"/>
          <w:szCs w:val="24"/>
        </w:rPr>
      </w:pPr>
      <w:r w:rsidRPr="00AD4302">
        <w:rPr>
          <w:rStyle w:val="CharacterStyle2"/>
          <w:spacing w:val="3"/>
          <w:sz w:val="24"/>
          <w:szCs w:val="24"/>
        </w:rPr>
        <w:t>Infatti, la certificazione non è altro che una autenticazione che il difensore compie nella veste di pubblico ufficiale.</w:t>
      </w:r>
    </w:p>
    <w:p w:rsidR="00AB7AEB" w:rsidRPr="002E4FFB" w:rsidRDefault="00AB7AEB" w:rsidP="00861AB6">
      <w:pPr>
        <w:pStyle w:val="Style1"/>
        <w:numPr>
          <w:ilvl w:val="0"/>
          <w:numId w:val="8"/>
        </w:numPr>
        <w:kinsoku w:val="0"/>
        <w:spacing w:line="480" w:lineRule="exact"/>
        <w:ind w:right="1151"/>
        <w:jc w:val="both"/>
        <w:rPr>
          <w:rStyle w:val="CharacterStyle2"/>
          <w:b/>
          <w:i/>
          <w:spacing w:val="3"/>
          <w:sz w:val="24"/>
          <w:szCs w:val="24"/>
        </w:rPr>
      </w:pPr>
      <w:r w:rsidRPr="00067F6B">
        <w:rPr>
          <w:rStyle w:val="CharacterStyle2"/>
          <w:b/>
          <w:spacing w:val="3"/>
          <w:sz w:val="24"/>
          <w:szCs w:val="24"/>
          <w:u w:val="single"/>
        </w:rPr>
        <w:t>Al comma 4</w:t>
      </w:r>
      <w:r w:rsidRPr="00283506">
        <w:rPr>
          <w:rStyle w:val="CharacterStyle2"/>
          <w:b/>
          <w:spacing w:val="3"/>
          <w:sz w:val="24"/>
          <w:szCs w:val="24"/>
        </w:rPr>
        <w:t>°</w:t>
      </w:r>
      <w:r w:rsidRPr="00AB7AEB">
        <w:rPr>
          <w:rStyle w:val="CharacterStyle2"/>
          <w:spacing w:val="3"/>
          <w:sz w:val="24"/>
          <w:szCs w:val="24"/>
        </w:rPr>
        <w:t xml:space="preserve"> </w:t>
      </w:r>
      <w:r w:rsidRPr="00C144A4">
        <w:rPr>
          <w:rStyle w:val="CharacterStyle2"/>
          <w:b/>
          <w:spacing w:val="3"/>
          <w:sz w:val="24"/>
          <w:szCs w:val="24"/>
        </w:rPr>
        <w:t xml:space="preserve">è previsto il decreto del </w:t>
      </w:r>
      <w:r w:rsidR="00861AB6" w:rsidRPr="00C144A4">
        <w:rPr>
          <w:rStyle w:val="CharacterStyle2"/>
          <w:b/>
          <w:spacing w:val="3"/>
          <w:sz w:val="24"/>
          <w:szCs w:val="24"/>
        </w:rPr>
        <w:t>Ministro dell’economia e delle finanze</w:t>
      </w:r>
      <w:r w:rsidR="00861AB6">
        <w:rPr>
          <w:rStyle w:val="CharacterStyle2"/>
          <w:spacing w:val="3"/>
          <w:sz w:val="24"/>
          <w:szCs w:val="24"/>
        </w:rPr>
        <w:t>:</w:t>
      </w:r>
      <w:r w:rsidR="00283506" w:rsidRPr="00283506">
        <w:t xml:space="preserve"> </w:t>
      </w:r>
      <w:r w:rsidR="007672C8">
        <w:t>&lt;&lt;</w:t>
      </w:r>
      <w:r w:rsidR="00283506" w:rsidRPr="00C144A4">
        <w:rPr>
          <w:rStyle w:val="CharacterStyle2"/>
          <w:i/>
          <w:spacing w:val="3"/>
          <w:sz w:val="24"/>
          <w:szCs w:val="24"/>
        </w:rPr>
        <w:t>L’elenco dei soggetti di cui al comma 3, lettere d), e), f), g) ed h), è tenuto dal Dipartimento delle finanze del Ministero dell’economia e delle finanze che vi provvede con le risorse umane, strumentali e finanziarie disponibili a legislazione vigente senza nuovi o maggiori oneri a carico del bilancio dello Stato.</w:t>
      </w:r>
      <w:r w:rsidR="00283506" w:rsidRPr="002E4FFB">
        <w:rPr>
          <w:rStyle w:val="CharacterStyle2"/>
          <w:b/>
          <w:i/>
          <w:spacing w:val="3"/>
          <w:sz w:val="24"/>
          <w:szCs w:val="24"/>
        </w:rPr>
        <w:t xml:space="preserve"> Con decreto del Ministro dell’economia e delle finanze, </w:t>
      </w:r>
      <w:r w:rsidR="00283506" w:rsidRPr="000E3E23">
        <w:rPr>
          <w:rStyle w:val="CharacterStyle2"/>
          <w:i/>
          <w:spacing w:val="3"/>
          <w:sz w:val="24"/>
          <w:szCs w:val="24"/>
        </w:rPr>
        <w:t>sentito il Ministero della giustizia, emesso ai sensi dell’articolo 17, comma 3, della legge 23 agosto 1988, n. 400, sono disciplinate le modalità di tenuta dell’elenco, nonché i casi di incompatibilità, diniego, sospensione e revoca della iscrizione anche sulla base dei principi contenuti nel codice deontologico forense. L’elenco è pubblicato nel sito internet del Ministero dell’economia e delle finanze</w:t>
      </w:r>
      <w:r w:rsidR="007672C8">
        <w:rPr>
          <w:rStyle w:val="CharacterStyle2"/>
          <w:b/>
          <w:i/>
          <w:spacing w:val="3"/>
          <w:sz w:val="24"/>
          <w:szCs w:val="24"/>
        </w:rPr>
        <w:t>&gt;&gt;</w:t>
      </w:r>
      <w:r w:rsidR="00283506" w:rsidRPr="002E4FFB">
        <w:rPr>
          <w:rStyle w:val="CharacterStyle2"/>
          <w:b/>
          <w:i/>
          <w:spacing w:val="3"/>
          <w:sz w:val="24"/>
          <w:szCs w:val="24"/>
        </w:rPr>
        <w:t>.</w:t>
      </w:r>
    </w:p>
    <w:p w:rsidR="00AB7AEB" w:rsidRPr="00AB7AEB" w:rsidRDefault="007F391C" w:rsidP="003A68D6">
      <w:pPr>
        <w:pStyle w:val="Style1"/>
        <w:kinsoku w:val="0"/>
        <w:spacing w:line="480" w:lineRule="exact"/>
        <w:ind w:right="1151"/>
        <w:jc w:val="both"/>
        <w:rPr>
          <w:rStyle w:val="CharacterStyle2"/>
          <w:b/>
          <w:spacing w:val="3"/>
          <w:sz w:val="24"/>
          <w:szCs w:val="24"/>
          <w:lang w:val="en-US"/>
        </w:rPr>
      </w:pPr>
      <w:r>
        <w:rPr>
          <w:rStyle w:val="CharacterStyle2"/>
          <w:b/>
          <w:spacing w:val="3"/>
          <w:sz w:val="24"/>
          <w:szCs w:val="24"/>
          <w:lang w:val="en-US"/>
        </w:rPr>
        <w:t>3) ART. 69 DEL D.LGS. N</w:t>
      </w:r>
      <w:r w:rsidR="00AB7AEB" w:rsidRPr="00AB7AEB">
        <w:rPr>
          <w:rStyle w:val="CharacterStyle2"/>
          <w:b/>
          <w:spacing w:val="3"/>
          <w:sz w:val="24"/>
          <w:szCs w:val="24"/>
          <w:lang w:val="en-US"/>
        </w:rPr>
        <w:t xml:space="preserve">. 546/92  </w:t>
      </w:r>
    </w:p>
    <w:p w:rsidR="005A30F4" w:rsidRDefault="00391D0E" w:rsidP="00391D0E">
      <w:pPr>
        <w:pStyle w:val="Style1"/>
        <w:kinsoku w:val="0"/>
        <w:spacing w:line="480" w:lineRule="exact"/>
        <w:ind w:right="1151"/>
        <w:jc w:val="both"/>
        <w:rPr>
          <w:rStyle w:val="CharacterStyle2"/>
          <w:b/>
          <w:spacing w:val="3"/>
          <w:sz w:val="24"/>
          <w:szCs w:val="24"/>
        </w:rPr>
      </w:pPr>
      <w:r w:rsidRPr="001D6C82">
        <w:rPr>
          <w:rStyle w:val="CharacterStyle2"/>
          <w:b/>
          <w:spacing w:val="3"/>
          <w:sz w:val="24"/>
          <w:szCs w:val="24"/>
        </w:rPr>
        <w:t>ESECUZIONE DELLE SENTENZE DI CONDANN</w:t>
      </w:r>
      <w:r w:rsidR="005A30F4">
        <w:rPr>
          <w:rStyle w:val="CharacterStyle2"/>
          <w:b/>
          <w:spacing w:val="3"/>
          <w:sz w:val="24"/>
          <w:szCs w:val="24"/>
        </w:rPr>
        <w:t xml:space="preserve">A IN FAVORE DEL CONTRIBUENTE   </w:t>
      </w:r>
    </w:p>
    <w:p w:rsidR="00391D0E" w:rsidRPr="00391D0E" w:rsidRDefault="00391D0E" w:rsidP="00391D0E">
      <w:pPr>
        <w:pStyle w:val="Style1"/>
        <w:kinsoku w:val="0"/>
        <w:spacing w:line="480" w:lineRule="exact"/>
        <w:ind w:right="1151"/>
        <w:jc w:val="both"/>
        <w:rPr>
          <w:rStyle w:val="CharacterStyle2"/>
          <w:spacing w:val="3"/>
          <w:sz w:val="24"/>
          <w:szCs w:val="24"/>
        </w:rPr>
      </w:pPr>
      <w:r w:rsidRPr="00391D0E">
        <w:rPr>
          <w:rStyle w:val="CharacterStyle2"/>
          <w:spacing w:val="3"/>
          <w:sz w:val="24"/>
          <w:szCs w:val="24"/>
        </w:rPr>
        <w:t>L'art. 69 è stato completamente riscritto e denominato "Esecuzione delle sentenze di condanna in favore del contribuente".</w:t>
      </w:r>
    </w:p>
    <w:p w:rsidR="00391D0E" w:rsidRPr="00391D0E" w:rsidRDefault="00391D0E" w:rsidP="00391D0E">
      <w:pPr>
        <w:pStyle w:val="Style1"/>
        <w:kinsoku w:val="0"/>
        <w:spacing w:line="480" w:lineRule="exact"/>
        <w:ind w:right="1151"/>
        <w:jc w:val="both"/>
        <w:rPr>
          <w:rStyle w:val="CharacterStyle2"/>
          <w:spacing w:val="3"/>
          <w:sz w:val="24"/>
          <w:szCs w:val="24"/>
        </w:rPr>
      </w:pPr>
      <w:r w:rsidRPr="00391D0E">
        <w:rPr>
          <w:rStyle w:val="CharacterStyle2"/>
          <w:spacing w:val="3"/>
          <w:sz w:val="24"/>
          <w:szCs w:val="24"/>
        </w:rPr>
        <w:t>Le sentenze di condanna al pagamento di somme in favore del contribuente e quelle emesse sul ricorso avverso gli atti relativi alle operazioni catastali indicate nell’art. 2, comma 2, sono immediatamente esecutive, anche se non passate in giudicato, come precisato in precedenza.</w:t>
      </w:r>
    </w:p>
    <w:p w:rsidR="00391D0E" w:rsidRPr="00391D0E" w:rsidRDefault="00391D0E" w:rsidP="00391D0E">
      <w:pPr>
        <w:pStyle w:val="Style1"/>
        <w:kinsoku w:val="0"/>
        <w:spacing w:line="480" w:lineRule="exact"/>
        <w:ind w:right="1151"/>
        <w:jc w:val="both"/>
        <w:rPr>
          <w:rStyle w:val="CharacterStyle2"/>
          <w:spacing w:val="3"/>
          <w:sz w:val="24"/>
          <w:szCs w:val="24"/>
        </w:rPr>
      </w:pPr>
      <w:r w:rsidRPr="00391D0E">
        <w:rPr>
          <w:rStyle w:val="CharacterStyle2"/>
          <w:spacing w:val="3"/>
          <w:sz w:val="24"/>
          <w:szCs w:val="24"/>
        </w:rPr>
        <w:t xml:space="preserve">Tuttavia il pagamento di somme dell’importo superiore a 10.000 euro, diverse dalle </w:t>
      </w:r>
      <w:r w:rsidRPr="00391D0E">
        <w:rPr>
          <w:rStyle w:val="CharacterStyle2"/>
          <w:spacing w:val="3"/>
          <w:sz w:val="24"/>
          <w:szCs w:val="24"/>
        </w:rPr>
        <w:lastRenderedPageBreak/>
        <w:t>spese di lite, può essere subordinato dal giudice, anche tenuto conto delle condizioni di solvibilità dell’istante, alla prestazione di idonea garanzia.</w:t>
      </w:r>
    </w:p>
    <w:p w:rsidR="00391D0E" w:rsidRPr="00391D0E" w:rsidRDefault="00391D0E" w:rsidP="00391D0E">
      <w:pPr>
        <w:pStyle w:val="Style1"/>
        <w:kinsoku w:val="0"/>
        <w:spacing w:line="480" w:lineRule="exact"/>
        <w:ind w:right="1151"/>
        <w:jc w:val="both"/>
        <w:rPr>
          <w:rStyle w:val="CharacterStyle2"/>
          <w:spacing w:val="3"/>
          <w:sz w:val="24"/>
          <w:szCs w:val="24"/>
        </w:rPr>
      </w:pPr>
      <w:r w:rsidRPr="00391D0E">
        <w:rPr>
          <w:rStyle w:val="CharacterStyle2"/>
          <w:spacing w:val="3"/>
          <w:sz w:val="24"/>
          <w:szCs w:val="24"/>
        </w:rPr>
        <w:t>La nuova disposizione prevede, come già precisato, l'immediata esecutività delle sentenze di condanna in favore del contribuente, il cui pagamento può essere subordinato dal giudice alla prestazione di idonea garanzia qualora superi l'importo di 10.000 euro ed abbia accertato ed argomentato in sentenza la solvibilità del contribuente, valutata sulla base della consistenza del suo patrimonio e dell'ammontare delle somme oggetto di rimborso.</w:t>
      </w:r>
    </w:p>
    <w:p w:rsidR="00391D0E" w:rsidRPr="00391D0E" w:rsidRDefault="00391D0E" w:rsidP="00391D0E">
      <w:pPr>
        <w:pStyle w:val="Style1"/>
        <w:kinsoku w:val="0"/>
        <w:spacing w:line="480" w:lineRule="exact"/>
        <w:ind w:right="1151"/>
        <w:jc w:val="both"/>
        <w:rPr>
          <w:rStyle w:val="CharacterStyle2"/>
          <w:spacing w:val="3"/>
          <w:sz w:val="24"/>
          <w:szCs w:val="24"/>
        </w:rPr>
      </w:pPr>
      <w:r w:rsidRPr="00391D0E">
        <w:rPr>
          <w:rStyle w:val="CharacterStyle2"/>
          <w:spacing w:val="3"/>
          <w:sz w:val="24"/>
          <w:szCs w:val="24"/>
        </w:rPr>
        <w:t>Il riferimento al "pagamento di somme dell'importo superiore a diecimila euro" esclude che tale limite possa operare come una franchigia per le evidenti complicazioni che un tale sistema provocherebbe.</w:t>
      </w:r>
    </w:p>
    <w:p w:rsidR="00391D0E" w:rsidRPr="00391D0E" w:rsidRDefault="00391D0E" w:rsidP="00391D0E">
      <w:pPr>
        <w:pStyle w:val="Style1"/>
        <w:kinsoku w:val="0"/>
        <w:spacing w:line="480" w:lineRule="exact"/>
        <w:ind w:right="1151"/>
        <w:jc w:val="both"/>
        <w:rPr>
          <w:rStyle w:val="CharacterStyle2"/>
          <w:spacing w:val="3"/>
          <w:sz w:val="24"/>
          <w:szCs w:val="24"/>
        </w:rPr>
      </w:pPr>
      <w:r w:rsidRPr="00391D0E">
        <w:rPr>
          <w:rStyle w:val="CharacterStyle2"/>
          <w:spacing w:val="3"/>
          <w:sz w:val="24"/>
          <w:szCs w:val="24"/>
        </w:rPr>
        <w:t>Alla prova dei fatti, c’è da augurarsi che non si tratti di un diritto solo sulla carta e che in futuro si faccia uno sforzo finanziario per alzare l’asticella a 20.000,00 euro, come peraltro era stato auspicato dalle Commissioni parlamentari.</w:t>
      </w:r>
    </w:p>
    <w:p w:rsidR="00391D0E" w:rsidRPr="00391D0E" w:rsidRDefault="00391D0E" w:rsidP="00391D0E">
      <w:pPr>
        <w:pStyle w:val="Style1"/>
        <w:kinsoku w:val="0"/>
        <w:spacing w:line="480" w:lineRule="exact"/>
        <w:ind w:right="1151"/>
        <w:jc w:val="both"/>
        <w:rPr>
          <w:rStyle w:val="CharacterStyle2"/>
          <w:spacing w:val="3"/>
          <w:sz w:val="24"/>
          <w:szCs w:val="24"/>
        </w:rPr>
      </w:pPr>
      <w:r w:rsidRPr="00391D0E">
        <w:rPr>
          <w:rStyle w:val="CharacterStyle2"/>
          <w:spacing w:val="3"/>
          <w:sz w:val="24"/>
          <w:szCs w:val="24"/>
        </w:rPr>
        <w:t xml:space="preserve">Il Ministero ha previsto in 50,6 milioni di Euro il costo stimato nel 2016 per effetto dell’esecutività delle sentenze in vigore dal prossimo 1° giugno 2016. </w:t>
      </w:r>
    </w:p>
    <w:p w:rsidR="00391D0E" w:rsidRPr="00391D0E" w:rsidRDefault="00391D0E" w:rsidP="00391D0E">
      <w:pPr>
        <w:pStyle w:val="Style1"/>
        <w:kinsoku w:val="0"/>
        <w:spacing w:line="480" w:lineRule="exact"/>
        <w:ind w:right="1151"/>
        <w:jc w:val="both"/>
        <w:rPr>
          <w:rStyle w:val="CharacterStyle2"/>
          <w:spacing w:val="3"/>
          <w:sz w:val="24"/>
          <w:szCs w:val="24"/>
        </w:rPr>
      </w:pPr>
      <w:r w:rsidRPr="00391D0E">
        <w:rPr>
          <w:rStyle w:val="CharacterStyle2"/>
          <w:spacing w:val="3"/>
          <w:sz w:val="24"/>
          <w:szCs w:val="24"/>
        </w:rPr>
        <w:t xml:space="preserve">Il comma 2 dell'art. 69 demanda ad un apposito D.M. la disciplina della garanzia, che dovrà mutuare quella già in vigore contenuta nell'art. </w:t>
      </w:r>
      <w:r w:rsidR="00BA4A50">
        <w:rPr>
          <w:rStyle w:val="CharacterStyle2"/>
          <w:spacing w:val="3"/>
          <w:sz w:val="24"/>
          <w:szCs w:val="24"/>
        </w:rPr>
        <w:t>38-bis del D.P.R. n. 633/1972. I</w:t>
      </w:r>
      <w:r w:rsidRPr="00391D0E">
        <w:rPr>
          <w:rStyle w:val="CharacterStyle2"/>
          <w:spacing w:val="3"/>
          <w:sz w:val="24"/>
          <w:szCs w:val="24"/>
        </w:rPr>
        <w:t>1 D.M. dovrà disciplinare la garanzia, prevedendo la sua durata nonché il termine entro il quale può essere escussa, a seguito dell'inerzia del contribuente in ordine alla restituzione delle somme garantite protrattasi per un periodo di tre mesi. La garanzia prevista dalla norma viene richiamata anche in altre disposizioni (quali, ad esempio, l'art. 19 comma 3 del D.Lgs. n. 472/1997 in tema di sanzioni), per evidenti esigenze di omogeneità, certezza e semplificazione.</w:t>
      </w:r>
    </w:p>
    <w:p w:rsidR="00391D0E" w:rsidRPr="00391D0E" w:rsidRDefault="00391D0E" w:rsidP="00391D0E">
      <w:pPr>
        <w:pStyle w:val="Style1"/>
        <w:kinsoku w:val="0"/>
        <w:spacing w:line="480" w:lineRule="exact"/>
        <w:ind w:right="1151"/>
        <w:jc w:val="both"/>
        <w:rPr>
          <w:rStyle w:val="CharacterStyle2"/>
          <w:spacing w:val="3"/>
          <w:sz w:val="24"/>
          <w:szCs w:val="24"/>
        </w:rPr>
      </w:pPr>
      <w:r w:rsidRPr="00391D0E">
        <w:rPr>
          <w:rStyle w:val="CharacterStyle2"/>
          <w:spacing w:val="3"/>
          <w:sz w:val="24"/>
          <w:szCs w:val="24"/>
        </w:rPr>
        <w:t>Fino all’approvazione del decreto restano applicabili le disposizioni previgenti di cui all’art. 69.</w:t>
      </w:r>
    </w:p>
    <w:p w:rsidR="00391D0E" w:rsidRPr="00391D0E" w:rsidRDefault="00391D0E" w:rsidP="00391D0E">
      <w:pPr>
        <w:pStyle w:val="Style1"/>
        <w:kinsoku w:val="0"/>
        <w:spacing w:line="480" w:lineRule="exact"/>
        <w:ind w:right="1151"/>
        <w:jc w:val="both"/>
        <w:rPr>
          <w:rStyle w:val="CharacterStyle2"/>
          <w:spacing w:val="3"/>
          <w:sz w:val="24"/>
          <w:szCs w:val="24"/>
        </w:rPr>
      </w:pPr>
      <w:r w:rsidRPr="00391D0E">
        <w:rPr>
          <w:rStyle w:val="CharacterStyle2"/>
          <w:spacing w:val="3"/>
          <w:sz w:val="24"/>
          <w:szCs w:val="24"/>
        </w:rPr>
        <w:t xml:space="preserve">Il comma 3 dell'art. 69 prevede che i costi della garanzia, anticipati dal contribuente, sono a carico della parte soccombente all'esito definitivo del giudizio, mentre il comma 4 prevede che il pagamento delle somme dovute a seguito della sentenza deve </w:t>
      </w:r>
      <w:r w:rsidRPr="00391D0E">
        <w:rPr>
          <w:rStyle w:val="CharacterStyle2"/>
          <w:spacing w:val="3"/>
          <w:sz w:val="24"/>
          <w:szCs w:val="24"/>
        </w:rPr>
        <w:lastRenderedPageBreak/>
        <w:t>essere eseguito entro novanta giorni dalla sua notificazione ovvero dalla presentazione della garanzia di cui al comma 2, se dovuta.</w:t>
      </w:r>
    </w:p>
    <w:p w:rsidR="00391D0E" w:rsidRPr="00391D0E" w:rsidRDefault="00391D0E" w:rsidP="00391D0E">
      <w:pPr>
        <w:pStyle w:val="Style1"/>
        <w:kinsoku w:val="0"/>
        <w:spacing w:line="480" w:lineRule="exact"/>
        <w:ind w:right="1151"/>
        <w:jc w:val="both"/>
        <w:rPr>
          <w:rStyle w:val="CharacterStyle2"/>
          <w:spacing w:val="3"/>
          <w:sz w:val="24"/>
          <w:szCs w:val="24"/>
        </w:rPr>
      </w:pPr>
      <w:r w:rsidRPr="00391D0E">
        <w:rPr>
          <w:rStyle w:val="CharacterStyle2"/>
          <w:spacing w:val="3"/>
          <w:sz w:val="24"/>
          <w:szCs w:val="24"/>
        </w:rPr>
        <w:t xml:space="preserve">Infine il comma 5 dello stesso art. 69 consente l'ottemperanza nei casi di inerzia dell'Amministrazione al rimborso. </w:t>
      </w:r>
    </w:p>
    <w:p w:rsidR="00391D0E" w:rsidRPr="00391D0E" w:rsidRDefault="00391D0E" w:rsidP="00391D0E">
      <w:pPr>
        <w:pStyle w:val="Style1"/>
        <w:kinsoku w:val="0"/>
        <w:spacing w:line="480" w:lineRule="exact"/>
        <w:ind w:right="1151"/>
        <w:jc w:val="both"/>
        <w:rPr>
          <w:rStyle w:val="CharacterStyle2"/>
          <w:spacing w:val="3"/>
          <w:sz w:val="24"/>
          <w:szCs w:val="24"/>
        </w:rPr>
      </w:pPr>
      <w:r w:rsidRPr="00391D0E">
        <w:rPr>
          <w:rStyle w:val="CharacterStyle2"/>
          <w:spacing w:val="3"/>
          <w:sz w:val="24"/>
          <w:szCs w:val="24"/>
        </w:rPr>
        <w:t>Il termine di esecuzione della sentenza di condanna in favore dei contribuente è, dunque, di 90 giorni, cui vanno aggiunti gli eventuali ulteriori 30 giorni necessari per l'ottemperanza a norma dell'art. 70 comma 2. Il termine complessivo arriva pertanto a 120 giorni e corrisponde a quello previsto in via generale dall'art. 14, comma 1, del D.L. n. 669/1996 per l'esecuzione delle decisioni civili nei confronti di soggetti pubblici ("Le amministrazioni dello Stato e gli enti pubblici non economici completano le procedure per l'esecuzione dei provvedimenti giurisdizionali e dei lodi arbitrali aventi efficacia esecutiva e comportanti l'obbligo di pagamento di somme di danaro entro il termine di centoventi giorni dalla notificazione del titolo esecutivo. Prima di tale termine il creditore non può procedere ad esecuzione forzata né alla notifica di atto di precetto").</w:t>
      </w:r>
    </w:p>
    <w:p w:rsidR="00391D0E" w:rsidRPr="00391D0E" w:rsidRDefault="00391D0E" w:rsidP="00391D0E">
      <w:pPr>
        <w:pStyle w:val="Style1"/>
        <w:kinsoku w:val="0"/>
        <w:spacing w:line="480" w:lineRule="exact"/>
        <w:ind w:right="1151"/>
        <w:jc w:val="both"/>
        <w:rPr>
          <w:rStyle w:val="CharacterStyle2"/>
          <w:spacing w:val="3"/>
          <w:sz w:val="24"/>
          <w:szCs w:val="24"/>
        </w:rPr>
      </w:pPr>
      <w:r w:rsidRPr="00391D0E">
        <w:rPr>
          <w:rStyle w:val="CharacterStyle2"/>
          <w:spacing w:val="3"/>
          <w:sz w:val="24"/>
          <w:szCs w:val="24"/>
        </w:rPr>
        <w:t>E’ stato abrogato l’art. 69-bis del D. Lgs. n. 546 del 31/12/1992 dal titolo “Aggiornamento degli atti catastali”, che era stato inserito dalla legge n. 44 del 26 aprile 2012, con applicazione dal 02 marzo 2012.</w:t>
      </w:r>
    </w:p>
    <w:p w:rsidR="00E81DA4" w:rsidRPr="00C30472" w:rsidRDefault="009F02D7" w:rsidP="000720DF">
      <w:pPr>
        <w:pStyle w:val="Style1"/>
        <w:numPr>
          <w:ilvl w:val="0"/>
          <w:numId w:val="8"/>
        </w:numPr>
        <w:kinsoku w:val="0"/>
        <w:spacing w:line="480" w:lineRule="exact"/>
        <w:ind w:right="1151"/>
        <w:jc w:val="both"/>
        <w:rPr>
          <w:rStyle w:val="CharacterStyle2"/>
          <w:b/>
          <w:i/>
          <w:spacing w:val="3"/>
          <w:sz w:val="24"/>
          <w:szCs w:val="24"/>
        </w:rPr>
      </w:pPr>
      <w:r>
        <w:rPr>
          <w:rStyle w:val="CharacterStyle2"/>
          <w:b/>
          <w:spacing w:val="3"/>
          <w:sz w:val="24"/>
          <w:szCs w:val="24"/>
          <w:u w:val="single"/>
        </w:rPr>
        <w:t>Al comma 2</w:t>
      </w:r>
      <w:r w:rsidRPr="00283506">
        <w:rPr>
          <w:rStyle w:val="CharacterStyle2"/>
          <w:b/>
          <w:spacing w:val="3"/>
          <w:sz w:val="24"/>
          <w:szCs w:val="24"/>
        </w:rPr>
        <w:t>°</w:t>
      </w:r>
      <w:r w:rsidRPr="00AB7AEB">
        <w:rPr>
          <w:rStyle w:val="CharacterStyle2"/>
          <w:spacing w:val="3"/>
          <w:sz w:val="24"/>
          <w:szCs w:val="24"/>
        </w:rPr>
        <w:t xml:space="preserve"> </w:t>
      </w:r>
      <w:r w:rsidRPr="00D61A85">
        <w:rPr>
          <w:rStyle w:val="CharacterStyle2"/>
          <w:b/>
          <w:spacing w:val="3"/>
          <w:sz w:val="24"/>
          <w:szCs w:val="24"/>
        </w:rPr>
        <w:t>è previsto il decreto del Ministro dell’economia e delle finanze</w:t>
      </w:r>
      <w:r>
        <w:rPr>
          <w:rStyle w:val="CharacterStyle2"/>
          <w:spacing w:val="3"/>
          <w:sz w:val="24"/>
          <w:szCs w:val="24"/>
        </w:rPr>
        <w:t>:</w:t>
      </w:r>
      <w:r w:rsidRPr="00283506">
        <w:t xml:space="preserve"> </w:t>
      </w:r>
      <w:r w:rsidR="00A121E8">
        <w:t>&lt;&lt;</w:t>
      </w:r>
      <w:r w:rsidR="00E81DA4" w:rsidRPr="00C30472">
        <w:rPr>
          <w:rStyle w:val="CharacterStyle2"/>
          <w:b/>
          <w:i/>
          <w:spacing w:val="3"/>
          <w:sz w:val="24"/>
          <w:szCs w:val="24"/>
        </w:rPr>
        <w:t xml:space="preserve">Con decreto del Ministro dell’economia e delle finanze </w:t>
      </w:r>
      <w:r w:rsidR="00E81DA4" w:rsidRPr="00D61A85">
        <w:rPr>
          <w:rStyle w:val="CharacterStyle2"/>
          <w:i/>
          <w:spacing w:val="3"/>
          <w:sz w:val="24"/>
          <w:szCs w:val="24"/>
        </w:rPr>
        <w:t>emesso ai sensi dell’articolo 17, comma 3, della legge 23 agosto 1988, n. 400, sono disciplinati il contenuto della garanzia sulla base di quanto previsto dall’articolo 38-bis, comma 5, del decreto del Presidente della Repubblica 26 ottobre 1972, n. 633, la sua durata nonché il termine entro il quale può essere escussa, a seguito dell’inerzia del contribuente in ordine alla restituzione delle somme garantite protrattasi per un periodo di tre mesi</w:t>
      </w:r>
      <w:r w:rsidR="00A121E8">
        <w:rPr>
          <w:rStyle w:val="CharacterStyle2"/>
          <w:b/>
          <w:i/>
          <w:spacing w:val="3"/>
          <w:sz w:val="24"/>
          <w:szCs w:val="24"/>
        </w:rPr>
        <w:t>&gt;&gt;</w:t>
      </w:r>
      <w:r w:rsidR="00E81DA4" w:rsidRPr="00C30472">
        <w:rPr>
          <w:rStyle w:val="CharacterStyle2"/>
          <w:b/>
          <w:i/>
          <w:spacing w:val="3"/>
          <w:sz w:val="24"/>
          <w:szCs w:val="24"/>
        </w:rPr>
        <w:t xml:space="preserve">. </w:t>
      </w:r>
    </w:p>
    <w:p w:rsidR="00112547" w:rsidRDefault="00C61F26" w:rsidP="003A68D6">
      <w:pPr>
        <w:pStyle w:val="Style1"/>
        <w:kinsoku w:val="0"/>
        <w:spacing w:line="480" w:lineRule="exact"/>
        <w:ind w:right="1151"/>
        <w:jc w:val="both"/>
        <w:rPr>
          <w:rStyle w:val="CharacterStyle2"/>
          <w:b/>
          <w:spacing w:val="3"/>
          <w:sz w:val="24"/>
          <w:szCs w:val="24"/>
        </w:rPr>
      </w:pPr>
      <w:r>
        <w:rPr>
          <w:rStyle w:val="CharacterStyle2"/>
          <w:b/>
          <w:spacing w:val="3"/>
          <w:sz w:val="24"/>
          <w:szCs w:val="24"/>
        </w:rPr>
        <w:t>4) ART. 12, c. 2°, D.LGS. N</w:t>
      </w:r>
      <w:r w:rsidR="00112547" w:rsidRPr="00112547">
        <w:rPr>
          <w:rStyle w:val="CharacterStyle2"/>
          <w:b/>
          <w:spacing w:val="3"/>
          <w:sz w:val="24"/>
          <w:szCs w:val="24"/>
        </w:rPr>
        <w:t>. 156/2015</w:t>
      </w:r>
    </w:p>
    <w:p w:rsidR="00970862" w:rsidRDefault="007E4CC1" w:rsidP="003A68D6">
      <w:pPr>
        <w:pStyle w:val="Style1"/>
        <w:kinsoku w:val="0"/>
        <w:spacing w:line="480" w:lineRule="exact"/>
        <w:ind w:right="1151"/>
        <w:jc w:val="both"/>
        <w:rPr>
          <w:rStyle w:val="CharacterStyle2"/>
          <w:spacing w:val="3"/>
          <w:sz w:val="24"/>
          <w:szCs w:val="24"/>
        </w:rPr>
      </w:pPr>
      <w:r w:rsidRPr="00970862">
        <w:rPr>
          <w:rStyle w:val="CharacterStyle2"/>
          <w:spacing w:val="3"/>
          <w:sz w:val="24"/>
          <w:szCs w:val="24"/>
        </w:rPr>
        <w:t>L’art. 12, c. 2°, D.Lgs. n. 156/2015</w:t>
      </w:r>
      <w:r>
        <w:rPr>
          <w:rStyle w:val="CharacterStyle2"/>
          <w:b/>
          <w:spacing w:val="3"/>
          <w:sz w:val="24"/>
          <w:szCs w:val="24"/>
        </w:rPr>
        <w:t xml:space="preserve"> </w:t>
      </w:r>
      <w:r>
        <w:rPr>
          <w:rStyle w:val="CharacterStyle2"/>
          <w:spacing w:val="3"/>
          <w:sz w:val="24"/>
          <w:szCs w:val="24"/>
        </w:rPr>
        <w:t>s</w:t>
      </w:r>
      <w:r w:rsidR="00797FC2" w:rsidRPr="004F61F9">
        <w:rPr>
          <w:rStyle w:val="CharacterStyle2"/>
          <w:spacing w:val="3"/>
          <w:sz w:val="24"/>
          <w:szCs w:val="24"/>
        </w:rPr>
        <w:t xml:space="preserve">tabilisce </w:t>
      </w:r>
      <w:r>
        <w:rPr>
          <w:rStyle w:val="CharacterStyle2"/>
          <w:spacing w:val="3"/>
          <w:sz w:val="24"/>
          <w:szCs w:val="24"/>
        </w:rPr>
        <w:t>che “</w:t>
      </w:r>
      <w:r w:rsidRPr="003A58D6">
        <w:rPr>
          <w:rStyle w:val="CharacterStyle2"/>
          <w:b/>
          <w:spacing w:val="3"/>
          <w:sz w:val="24"/>
          <w:szCs w:val="24"/>
        </w:rPr>
        <w:t>fino all’approvazione dei decreti previsti</w:t>
      </w:r>
      <w:r w:rsidRPr="007E4CC1">
        <w:rPr>
          <w:rStyle w:val="CharacterStyle2"/>
          <w:spacing w:val="3"/>
          <w:sz w:val="24"/>
          <w:szCs w:val="24"/>
        </w:rPr>
        <w:t xml:space="preserve"> dagli articoli 12, comma 4, e 69, comma 2, del decreto legislativo 31 </w:t>
      </w:r>
      <w:r w:rsidRPr="007E4CC1">
        <w:rPr>
          <w:rStyle w:val="CharacterStyle2"/>
          <w:spacing w:val="3"/>
          <w:sz w:val="24"/>
          <w:szCs w:val="24"/>
        </w:rPr>
        <w:lastRenderedPageBreak/>
        <w:t xml:space="preserve">dicembre 1992, n. 546, come modificati dall’articolo 10 del presente decreto, </w:t>
      </w:r>
      <w:r w:rsidRPr="00970862">
        <w:rPr>
          <w:rStyle w:val="CharacterStyle2"/>
          <w:b/>
          <w:spacing w:val="3"/>
          <w:sz w:val="24"/>
          <w:szCs w:val="24"/>
        </w:rPr>
        <w:t>restano applicabili le disposizioni previgenti di cui ai predetti articoli 12 e 69</w:t>
      </w:r>
      <w:r w:rsidR="00970862">
        <w:rPr>
          <w:rStyle w:val="CharacterStyle2"/>
          <w:spacing w:val="3"/>
          <w:sz w:val="24"/>
          <w:szCs w:val="24"/>
        </w:rPr>
        <w:t>”</w:t>
      </w:r>
      <w:r w:rsidRPr="007E4CC1">
        <w:rPr>
          <w:rStyle w:val="CharacterStyle2"/>
          <w:spacing w:val="3"/>
          <w:sz w:val="24"/>
          <w:szCs w:val="24"/>
        </w:rPr>
        <w:t>.</w:t>
      </w:r>
      <w:r w:rsidR="00970862">
        <w:rPr>
          <w:rStyle w:val="CharacterStyle2"/>
          <w:spacing w:val="3"/>
          <w:sz w:val="24"/>
          <w:szCs w:val="24"/>
        </w:rPr>
        <w:t xml:space="preserve"> </w:t>
      </w:r>
    </w:p>
    <w:p w:rsidR="00C07ABB" w:rsidRDefault="00EC5CE6" w:rsidP="003A68D6">
      <w:pPr>
        <w:pStyle w:val="Style1"/>
        <w:kinsoku w:val="0"/>
        <w:spacing w:line="480" w:lineRule="exact"/>
        <w:ind w:right="1151"/>
        <w:jc w:val="both"/>
        <w:rPr>
          <w:rStyle w:val="CharacterStyle2"/>
          <w:spacing w:val="3"/>
          <w:sz w:val="24"/>
          <w:szCs w:val="24"/>
        </w:rPr>
      </w:pPr>
      <w:r w:rsidRPr="004F61F9">
        <w:rPr>
          <w:rStyle w:val="CharacterStyle2"/>
          <w:spacing w:val="3"/>
          <w:sz w:val="24"/>
          <w:szCs w:val="24"/>
        </w:rPr>
        <w:t xml:space="preserve">E’ importante quindi che </w:t>
      </w:r>
      <w:r w:rsidRPr="003A58D6">
        <w:rPr>
          <w:rStyle w:val="CharacterStyle2"/>
          <w:b/>
          <w:spacing w:val="3"/>
          <w:sz w:val="24"/>
          <w:szCs w:val="24"/>
        </w:rPr>
        <w:t>il MEF approvi</w:t>
      </w:r>
      <w:r w:rsidR="00FB1143" w:rsidRPr="003A58D6">
        <w:rPr>
          <w:rStyle w:val="CharacterStyle2"/>
          <w:b/>
          <w:spacing w:val="3"/>
          <w:sz w:val="24"/>
          <w:szCs w:val="24"/>
        </w:rPr>
        <w:t xml:space="preserve"> subito i due citati</w:t>
      </w:r>
      <w:r w:rsidRPr="003A58D6">
        <w:rPr>
          <w:rStyle w:val="CharacterStyle2"/>
          <w:b/>
          <w:spacing w:val="3"/>
          <w:sz w:val="24"/>
          <w:szCs w:val="24"/>
        </w:rPr>
        <w:t xml:space="preserve"> decreti ministeriali</w:t>
      </w:r>
      <w:r w:rsidRPr="004F61F9">
        <w:rPr>
          <w:rStyle w:val="CharacterStyle2"/>
          <w:spacing w:val="3"/>
          <w:sz w:val="24"/>
          <w:szCs w:val="24"/>
        </w:rPr>
        <w:t xml:space="preserve"> che hanno natura </w:t>
      </w:r>
      <w:r w:rsidR="008F4ADA" w:rsidRPr="004F61F9">
        <w:rPr>
          <w:rStyle w:val="CharacterStyle2"/>
          <w:spacing w:val="3"/>
          <w:sz w:val="24"/>
          <w:szCs w:val="24"/>
        </w:rPr>
        <w:t xml:space="preserve">regolamentare, in modo che il </w:t>
      </w:r>
      <w:r w:rsidR="008F4ADA" w:rsidRPr="000406EB">
        <w:rPr>
          <w:rStyle w:val="CharacterStyle2"/>
          <w:b/>
          <w:spacing w:val="3"/>
          <w:sz w:val="24"/>
          <w:szCs w:val="24"/>
        </w:rPr>
        <w:t xml:space="preserve">1°giugno 2016 </w:t>
      </w:r>
      <w:r w:rsidR="007518B4" w:rsidRPr="000406EB">
        <w:rPr>
          <w:rStyle w:val="CharacterStyle2"/>
          <w:spacing w:val="3"/>
          <w:sz w:val="24"/>
          <w:szCs w:val="24"/>
        </w:rPr>
        <w:t>entri</w:t>
      </w:r>
      <w:r w:rsidR="007518B4" w:rsidRPr="004F61F9">
        <w:rPr>
          <w:rStyle w:val="CharacterStyle2"/>
          <w:spacing w:val="3"/>
          <w:sz w:val="24"/>
          <w:szCs w:val="24"/>
        </w:rPr>
        <w:t xml:space="preserve"> subito in vigore l’art. 69</w:t>
      </w:r>
      <w:r w:rsidR="004F61F9" w:rsidRPr="004F61F9">
        <w:rPr>
          <w:rStyle w:val="CharacterStyle2"/>
          <w:spacing w:val="3"/>
          <w:sz w:val="24"/>
          <w:szCs w:val="24"/>
        </w:rPr>
        <w:t xml:space="preserve"> che, come </w:t>
      </w:r>
      <w:r w:rsidR="004F61F9">
        <w:rPr>
          <w:rStyle w:val="CharacterStyle2"/>
          <w:spacing w:val="3"/>
          <w:sz w:val="24"/>
          <w:szCs w:val="24"/>
        </w:rPr>
        <w:t>abbiamo detto sopra è una nor</w:t>
      </w:r>
      <w:r w:rsidR="00C07ABB">
        <w:rPr>
          <w:rStyle w:val="CharacterStyle2"/>
          <w:spacing w:val="3"/>
          <w:sz w:val="24"/>
          <w:szCs w:val="24"/>
        </w:rPr>
        <w:t>ma a vantaggio del contribuente</w:t>
      </w:r>
      <w:r w:rsidR="0042638E">
        <w:rPr>
          <w:rStyle w:val="CharacterStyle2"/>
          <w:spacing w:val="3"/>
          <w:sz w:val="24"/>
          <w:szCs w:val="24"/>
        </w:rPr>
        <w:t xml:space="preserve"> che consente di avere subito i rimborsi.</w:t>
      </w:r>
    </w:p>
    <w:p w:rsidR="004F61F9" w:rsidRDefault="004F61F9" w:rsidP="003A68D6">
      <w:pPr>
        <w:pStyle w:val="Style1"/>
        <w:kinsoku w:val="0"/>
        <w:spacing w:line="480" w:lineRule="exact"/>
        <w:ind w:right="1151"/>
        <w:jc w:val="both"/>
        <w:rPr>
          <w:rStyle w:val="CharacterStyle2"/>
          <w:spacing w:val="3"/>
          <w:sz w:val="24"/>
          <w:szCs w:val="24"/>
        </w:rPr>
      </w:pPr>
      <w:r>
        <w:rPr>
          <w:rStyle w:val="CharacterStyle2"/>
          <w:spacing w:val="3"/>
          <w:sz w:val="24"/>
          <w:szCs w:val="24"/>
        </w:rPr>
        <w:t xml:space="preserve">A tal proposito si riporta integralmente </w:t>
      </w:r>
      <w:r w:rsidRPr="00215865">
        <w:rPr>
          <w:rStyle w:val="CharacterStyle2"/>
          <w:b/>
          <w:spacing w:val="3"/>
          <w:sz w:val="24"/>
          <w:szCs w:val="24"/>
        </w:rPr>
        <w:t>l’interrogazione parlamentare fatta dal Senatore Maurizio Buccarella del Movimento 5 stelle</w:t>
      </w:r>
      <w:r w:rsidR="00417BD7">
        <w:rPr>
          <w:rStyle w:val="CharacterStyle2"/>
          <w:spacing w:val="3"/>
          <w:sz w:val="24"/>
          <w:szCs w:val="24"/>
        </w:rPr>
        <w:t>:</w:t>
      </w:r>
    </w:p>
    <w:p w:rsidR="00417BD7" w:rsidRPr="00215865" w:rsidRDefault="00215865" w:rsidP="00417BD7">
      <w:pPr>
        <w:pStyle w:val="Style1"/>
        <w:kinsoku w:val="0"/>
        <w:spacing w:line="480" w:lineRule="exact"/>
        <w:ind w:right="1151"/>
        <w:jc w:val="both"/>
        <w:rPr>
          <w:rStyle w:val="CharacterStyle2"/>
          <w:i/>
          <w:spacing w:val="3"/>
          <w:sz w:val="24"/>
          <w:szCs w:val="24"/>
        </w:rPr>
      </w:pPr>
      <w:r>
        <w:rPr>
          <w:rStyle w:val="CharacterStyle2"/>
          <w:spacing w:val="3"/>
          <w:sz w:val="24"/>
          <w:szCs w:val="24"/>
        </w:rPr>
        <w:t>“</w:t>
      </w:r>
      <w:r w:rsidR="00417BD7" w:rsidRPr="00215865">
        <w:rPr>
          <w:rStyle w:val="CharacterStyle2"/>
          <w:i/>
          <w:spacing w:val="3"/>
          <w:sz w:val="24"/>
          <w:szCs w:val="24"/>
        </w:rPr>
        <w:t>Atto n. 4-05484</w:t>
      </w:r>
    </w:p>
    <w:p w:rsidR="00417BD7" w:rsidRPr="00215865" w:rsidRDefault="00417BD7" w:rsidP="00417BD7">
      <w:pPr>
        <w:pStyle w:val="Style1"/>
        <w:kinsoku w:val="0"/>
        <w:spacing w:line="480" w:lineRule="exact"/>
        <w:ind w:right="1151"/>
        <w:jc w:val="both"/>
        <w:rPr>
          <w:rStyle w:val="CharacterStyle2"/>
          <w:i/>
          <w:spacing w:val="3"/>
          <w:sz w:val="24"/>
          <w:szCs w:val="24"/>
        </w:rPr>
      </w:pPr>
      <w:r w:rsidRPr="00215865">
        <w:rPr>
          <w:rStyle w:val="CharacterStyle2"/>
          <w:i/>
          <w:spacing w:val="3"/>
          <w:sz w:val="24"/>
          <w:szCs w:val="24"/>
        </w:rPr>
        <w:t>Pubblicato il 16 marzo 2016, nella seduta n. 594</w:t>
      </w:r>
    </w:p>
    <w:p w:rsidR="00417BD7" w:rsidRPr="00215865" w:rsidRDefault="00417BD7" w:rsidP="00417BD7">
      <w:pPr>
        <w:pStyle w:val="Style1"/>
        <w:kinsoku w:val="0"/>
        <w:spacing w:line="480" w:lineRule="exact"/>
        <w:ind w:right="1151"/>
        <w:jc w:val="both"/>
        <w:rPr>
          <w:rStyle w:val="CharacterStyle2"/>
          <w:i/>
          <w:spacing w:val="3"/>
          <w:sz w:val="24"/>
          <w:szCs w:val="24"/>
        </w:rPr>
      </w:pPr>
      <w:r w:rsidRPr="00215865">
        <w:rPr>
          <w:rStyle w:val="CharacterStyle2"/>
          <w:i/>
          <w:spacing w:val="3"/>
          <w:sz w:val="24"/>
          <w:szCs w:val="24"/>
        </w:rPr>
        <w:t xml:space="preserve">BUCCARELLA , AIROLA , GIROTTO , DONNO , GIARRUSSO , PUGLIA , ENDRIZZI , CAPPELLETTI , BERTOROTTA , MORONESE , SCIBONA , SANTANGELO , BOTTICI - Al Ministro dell'economia e delle finanze. - </w:t>
      </w:r>
    </w:p>
    <w:p w:rsidR="00417BD7" w:rsidRPr="00215865" w:rsidRDefault="00417BD7" w:rsidP="00417BD7">
      <w:pPr>
        <w:pStyle w:val="Style1"/>
        <w:kinsoku w:val="0"/>
        <w:spacing w:line="480" w:lineRule="exact"/>
        <w:ind w:right="1151"/>
        <w:jc w:val="both"/>
        <w:rPr>
          <w:rStyle w:val="CharacterStyle2"/>
          <w:i/>
          <w:spacing w:val="3"/>
          <w:sz w:val="24"/>
          <w:szCs w:val="24"/>
        </w:rPr>
      </w:pPr>
      <w:r w:rsidRPr="00215865">
        <w:rPr>
          <w:rStyle w:val="CharacterStyle2"/>
          <w:i/>
          <w:spacing w:val="3"/>
          <w:sz w:val="24"/>
          <w:szCs w:val="24"/>
        </w:rPr>
        <w:t>Premesso che:</w:t>
      </w:r>
    </w:p>
    <w:p w:rsidR="00417BD7" w:rsidRPr="00215865" w:rsidRDefault="00417BD7" w:rsidP="00417BD7">
      <w:pPr>
        <w:pStyle w:val="Style1"/>
        <w:kinsoku w:val="0"/>
        <w:spacing w:line="480" w:lineRule="exact"/>
        <w:ind w:right="1151"/>
        <w:jc w:val="both"/>
        <w:rPr>
          <w:rStyle w:val="CharacterStyle2"/>
          <w:i/>
          <w:spacing w:val="3"/>
          <w:sz w:val="24"/>
          <w:szCs w:val="24"/>
        </w:rPr>
      </w:pPr>
      <w:r w:rsidRPr="00215865">
        <w:rPr>
          <w:rStyle w:val="CharacterStyle2"/>
          <w:i/>
          <w:spacing w:val="3"/>
          <w:sz w:val="24"/>
          <w:szCs w:val="24"/>
        </w:rPr>
        <w:t>il decreto legislativo n. 156 del 2015 è intervenuto in maniera decisa nella materia tributaria, con l'introduzione di importanti novità rispetto alla disciplina previgente;</w:t>
      </w:r>
    </w:p>
    <w:p w:rsidR="00417BD7" w:rsidRPr="00215865" w:rsidRDefault="00417BD7" w:rsidP="00417BD7">
      <w:pPr>
        <w:pStyle w:val="Style1"/>
        <w:kinsoku w:val="0"/>
        <w:spacing w:line="480" w:lineRule="exact"/>
        <w:ind w:right="1151"/>
        <w:jc w:val="both"/>
        <w:rPr>
          <w:rStyle w:val="CharacterStyle2"/>
          <w:i/>
          <w:spacing w:val="3"/>
          <w:sz w:val="24"/>
          <w:szCs w:val="24"/>
        </w:rPr>
      </w:pPr>
      <w:r w:rsidRPr="00215865">
        <w:rPr>
          <w:rStyle w:val="CharacterStyle2"/>
          <w:i/>
          <w:spacing w:val="3"/>
          <w:sz w:val="24"/>
          <w:szCs w:val="24"/>
        </w:rPr>
        <w:t>il testo prevede l'immediata entrata in vigore di alcune norme, il differimento di altre al 1° giugno 2016, ed altre ancora rimandano al Governo l'emissione di decreti delegati, che ancora non sono stati emanati;</w:t>
      </w:r>
    </w:p>
    <w:p w:rsidR="00417BD7" w:rsidRPr="00215865" w:rsidRDefault="00417BD7" w:rsidP="00417BD7">
      <w:pPr>
        <w:pStyle w:val="Style1"/>
        <w:kinsoku w:val="0"/>
        <w:spacing w:line="480" w:lineRule="exact"/>
        <w:ind w:right="1151"/>
        <w:jc w:val="both"/>
        <w:rPr>
          <w:rStyle w:val="CharacterStyle2"/>
          <w:i/>
          <w:spacing w:val="3"/>
          <w:sz w:val="24"/>
          <w:szCs w:val="24"/>
        </w:rPr>
      </w:pPr>
      <w:r w:rsidRPr="00215865">
        <w:rPr>
          <w:rStyle w:val="CharacterStyle2"/>
          <w:i/>
          <w:spacing w:val="3"/>
          <w:sz w:val="24"/>
          <w:szCs w:val="24"/>
        </w:rPr>
        <w:t>in particolare, ai sensi dell'art. 12, comma 2, alcune disposizioni processuali tributarie, in particolare quella dell'esecuzione delle sentenze di condanna in favore del contribuente (art. 69 del decreto legislativo n. 546 del 1992), non possono entrare in vigore, se non vengono approvati e pubblicati i decreti del Ministro dell'economia e delle finanze, ai sensi dell'art. 17, comma 3, della legge n. 400 del 1988;</w:t>
      </w:r>
    </w:p>
    <w:p w:rsidR="00417BD7" w:rsidRPr="00215865" w:rsidRDefault="00417BD7" w:rsidP="00417BD7">
      <w:pPr>
        <w:pStyle w:val="Style1"/>
        <w:kinsoku w:val="0"/>
        <w:spacing w:line="480" w:lineRule="exact"/>
        <w:ind w:right="1151"/>
        <w:jc w:val="both"/>
        <w:rPr>
          <w:rStyle w:val="CharacterStyle2"/>
          <w:i/>
          <w:spacing w:val="3"/>
          <w:sz w:val="24"/>
          <w:szCs w:val="24"/>
        </w:rPr>
      </w:pPr>
      <w:r w:rsidRPr="00215865">
        <w:rPr>
          <w:rStyle w:val="CharacterStyle2"/>
          <w:i/>
          <w:spacing w:val="3"/>
          <w:sz w:val="24"/>
          <w:szCs w:val="24"/>
        </w:rPr>
        <w:t xml:space="preserve">a giudizio degli interroganti, il contenuto di tali norme, nei suoi risvolti pratici, consentirebbe al cittadino contribuente, che ha ottenuto sentenza favorevole, di non attendere che la sentenza diventi definitiva, per ottenere il giusto rimborso fiscale, stante anche la censurabile pratica messa in atto dalle pubbliche amministrazioni </w:t>
      </w:r>
      <w:r w:rsidRPr="00215865">
        <w:rPr>
          <w:rStyle w:val="CharacterStyle2"/>
          <w:i/>
          <w:spacing w:val="3"/>
          <w:sz w:val="24"/>
          <w:szCs w:val="24"/>
        </w:rPr>
        <w:lastRenderedPageBreak/>
        <w:t>resistenti di spostare, quanto più avanti nel tempo, la definitività della sentenza, proponendo ricorsi e controricorsi ai soli fini dilatori, per evitare di rimborsare le somme pretese e non dovute in favore di cittadini e imprese,</w:t>
      </w:r>
    </w:p>
    <w:p w:rsidR="00417BD7" w:rsidRDefault="00417BD7" w:rsidP="00417BD7">
      <w:pPr>
        <w:pStyle w:val="Style1"/>
        <w:kinsoku w:val="0"/>
        <w:spacing w:line="480" w:lineRule="exact"/>
        <w:ind w:right="1151"/>
        <w:jc w:val="both"/>
        <w:rPr>
          <w:rStyle w:val="CharacterStyle2"/>
          <w:spacing w:val="3"/>
          <w:sz w:val="24"/>
          <w:szCs w:val="24"/>
        </w:rPr>
      </w:pPr>
      <w:r w:rsidRPr="00215865">
        <w:rPr>
          <w:rStyle w:val="CharacterStyle2"/>
          <w:i/>
          <w:spacing w:val="3"/>
          <w:sz w:val="24"/>
          <w:szCs w:val="24"/>
        </w:rPr>
        <w:t>si chiede di sapere se il Ministro in indirizzo non ritenga opportuno provvedere alla pronta emanazione dei decreti, entro e non oltre il 31 maggio 2016, sia per porre rimedio ad una situazione a giudizio degli interroganti iniqua nei confronti dei contribuenti onesti, ma vessati da meccanismi dilatori proditoriamente messi in atto dalle pubbliche amministrazioni, sia perché il 1° giugno 2016 entreranno definitivamente in vigore altre importanti disposizioni processuali tributarie</w:t>
      </w:r>
      <w:r w:rsidR="00215865">
        <w:rPr>
          <w:rStyle w:val="CharacterStyle2"/>
          <w:spacing w:val="3"/>
          <w:sz w:val="24"/>
          <w:szCs w:val="24"/>
        </w:rPr>
        <w:t>”</w:t>
      </w:r>
      <w:r w:rsidRPr="00417BD7">
        <w:rPr>
          <w:rStyle w:val="CharacterStyle2"/>
          <w:spacing w:val="3"/>
          <w:sz w:val="24"/>
          <w:szCs w:val="24"/>
        </w:rPr>
        <w:t>.</w:t>
      </w:r>
    </w:p>
    <w:p w:rsidR="00AF04CE" w:rsidRDefault="00F27BD0" w:rsidP="003A68D6">
      <w:pPr>
        <w:pStyle w:val="Style1"/>
        <w:kinsoku w:val="0"/>
        <w:spacing w:line="480" w:lineRule="exact"/>
        <w:ind w:right="1151"/>
        <w:jc w:val="both"/>
        <w:rPr>
          <w:rStyle w:val="CharacterStyle2"/>
          <w:spacing w:val="3"/>
          <w:sz w:val="24"/>
          <w:szCs w:val="24"/>
        </w:rPr>
      </w:pPr>
      <w:r>
        <w:rPr>
          <w:rStyle w:val="CharacterStyle2"/>
          <w:spacing w:val="3"/>
          <w:sz w:val="24"/>
          <w:szCs w:val="24"/>
        </w:rPr>
        <w:t>E’ auspicabile</w:t>
      </w:r>
      <w:r w:rsidR="00C8264A">
        <w:rPr>
          <w:rStyle w:val="CharacterStyle2"/>
          <w:spacing w:val="3"/>
          <w:sz w:val="24"/>
          <w:szCs w:val="24"/>
        </w:rPr>
        <w:t>, pertanto,</w:t>
      </w:r>
      <w:r>
        <w:rPr>
          <w:rStyle w:val="CharacterStyle2"/>
          <w:spacing w:val="3"/>
          <w:sz w:val="24"/>
          <w:szCs w:val="24"/>
        </w:rPr>
        <w:t xml:space="preserve"> anche con l’intervento degli ordini professiona</w:t>
      </w:r>
      <w:r w:rsidR="00C8264A">
        <w:rPr>
          <w:rStyle w:val="CharacterStyle2"/>
          <w:spacing w:val="3"/>
          <w:sz w:val="24"/>
          <w:szCs w:val="24"/>
        </w:rPr>
        <w:t>li che il MEF approvi subito i due</w:t>
      </w:r>
      <w:r>
        <w:rPr>
          <w:rStyle w:val="CharacterStyle2"/>
          <w:spacing w:val="3"/>
          <w:sz w:val="24"/>
          <w:szCs w:val="24"/>
        </w:rPr>
        <w:t xml:space="preserve"> citati decreti per non bloccare </w:t>
      </w:r>
      <w:r w:rsidR="00B43B78">
        <w:rPr>
          <w:rStyle w:val="CharacterStyle2"/>
          <w:spacing w:val="3"/>
          <w:sz w:val="24"/>
          <w:szCs w:val="24"/>
        </w:rPr>
        <w:t xml:space="preserve">l’entrata in vigore delle succitate </w:t>
      </w:r>
      <w:r w:rsidR="00C56CD4">
        <w:rPr>
          <w:rStyle w:val="CharacterStyle2"/>
          <w:spacing w:val="3"/>
          <w:sz w:val="24"/>
          <w:szCs w:val="24"/>
        </w:rPr>
        <w:t>norme, soprattutto quella di cui a</w:t>
      </w:r>
      <w:r w:rsidR="00AF04CE">
        <w:rPr>
          <w:rStyle w:val="CharacterStyle2"/>
          <w:spacing w:val="3"/>
          <w:sz w:val="24"/>
          <w:szCs w:val="24"/>
        </w:rPr>
        <w:t>ll’art. 69.</w:t>
      </w:r>
    </w:p>
    <w:p w:rsidR="00F27BD0" w:rsidRPr="004F61F9" w:rsidRDefault="00AF04CE" w:rsidP="003A68D6">
      <w:pPr>
        <w:pStyle w:val="Style1"/>
        <w:kinsoku w:val="0"/>
        <w:spacing w:line="480" w:lineRule="exact"/>
        <w:ind w:right="1151"/>
        <w:jc w:val="both"/>
        <w:rPr>
          <w:rStyle w:val="CharacterStyle2"/>
          <w:spacing w:val="3"/>
          <w:sz w:val="24"/>
          <w:szCs w:val="24"/>
        </w:rPr>
      </w:pPr>
      <w:r>
        <w:rPr>
          <w:rStyle w:val="CharacterStyle2"/>
          <w:spacing w:val="3"/>
          <w:sz w:val="24"/>
          <w:szCs w:val="24"/>
        </w:rPr>
        <w:t xml:space="preserve">Appunto per </w:t>
      </w:r>
      <w:r w:rsidR="001073AD">
        <w:rPr>
          <w:rStyle w:val="CharacterStyle2"/>
          <w:spacing w:val="3"/>
          <w:sz w:val="24"/>
          <w:szCs w:val="24"/>
        </w:rPr>
        <w:t xml:space="preserve">questo </w:t>
      </w:r>
      <w:r w:rsidR="00A97ECA">
        <w:rPr>
          <w:rStyle w:val="CharacterStyle2"/>
          <w:b/>
          <w:spacing w:val="3"/>
          <w:sz w:val="24"/>
          <w:szCs w:val="24"/>
        </w:rPr>
        <w:t>è urgente la r</w:t>
      </w:r>
      <w:r w:rsidR="001073AD" w:rsidRPr="003A58D6">
        <w:rPr>
          <w:rStyle w:val="CharacterStyle2"/>
          <w:b/>
          <w:spacing w:val="3"/>
          <w:sz w:val="24"/>
          <w:szCs w:val="24"/>
        </w:rPr>
        <w:t>iforma struttura</w:t>
      </w:r>
      <w:r w:rsidR="00205008">
        <w:rPr>
          <w:rStyle w:val="CharacterStyle2"/>
          <w:b/>
          <w:spacing w:val="3"/>
          <w:sz w:val="24"/>
          <w:szCs w:val="24"/>
        </w:rPr>
        <w:t>le delle Commissioni T</w:t>
      </w:r>
      <w:r w:rsidR="00AA75F1" w:rsidRPr="003A58D6">
        <w:rPr>
          <w:rStyle w:val="CharacterStyle2"/>
          <w:b/>
          <w:spacing w:val="3"/>
          <w:sz w:val="24"/>
          <w:szCs w:val="24"/>
        </w:rPr>
        <w:t>ributarie che non devono più dipendere dal MEF</w:t>
      </w:r>
      <w:r w:rsidR="004A13B9">
        <w:rPr>
          <w:rStyle w:val="CharacterStyle2"/>
          <w:spacing w:val="3"/>
          <w:sz w:val="24"/>
          <w:szCs w:val="24"/>
        </w:rPr>
        <w:t xml:space="preserve"> ma devono essere organismi autonomi ed indipendenti, gestiti ed</w:t>
      </w:r>
      <w:r w:rsidR="00062867">
        <w:rPr>
          <w:rStyle w:val="CharacterStyle2"/>
          <w:spacing w:val="3"/>
          <w:sz w:val="24"/>
          <w:szCs w:val="24"/>
        </w:rPr>
        <w:t xml:space="preserve"> organizzati dal Ministero della</w:t>
      </w:r>
      <w:r w:rsidR="004A13B9">
        <w:rPr>
          <w:rStyle w:val="CharacterStyle2"/>
          <w:spacing w:val="3"/>
          <w:sz w:val="24"/>
          <w:szCs w:val="24"/>
        </w:rPr>
        <w:t xml:space="preserve"> Giustizia </w:t>
      </w:r>
      <w:r w:rsidR="007B49D5">
        <w:rPr>
          <w:rStyle w:val="CharacterStyle2"/>
          <w:spacing w:val="3"/>
          <w:sz w:val="24"/>
          <w:szCs w:val="24"/>
        </w:rPr>
        <w:t>o dal</w:t>
      </w:r>
      <w:r w:rsidR="007B49D5" w:rsidRPr="007B49D5">
        <w:rPr>
          <w:rStyle w:val="CharacterStyle2"/>
          <w:spacing w:val="3"/>
          <w:sz w:val="24"/>
          <w:szCs w:val="24"/>
        </w:rPr>
        <w:t>la Presidenza del  Consiglio dei Ministri</w:t>
      </w:r>
      <w:r w:rsidR="00F27BD0">
        <w:rPr>
          <w:rStyle w:val="CharacterStyle2"/>
          <w:spacing w:val="3"/>
          <w:sz w:val="24"/>
          <w:szCs w:val="24"/>
        </w:rPr>
        <w:t xml:space="preserve"> </w:t>
      </w:r>
      <w:r w:rsidR="00062867">
        <w:rPr>
          <w:rStyle w:val="CharacterStyle2"/>
          <w:spacing w:val="3"/>
          <w:sz w:val="24"/>
          <w:szCs w:val="24"/>
        </w:rPr>
        <w:t>con giudici professionali, a tempo pieno e ben pagati.</w:t>
      </w:r>
    </w:p>
    <w:p w:rsidR="00D2458A" w:rsidRDefault="00D2458A" w:rsidP="003A68D6">
      <w:pPr>
        <w:pStyle w:val="Style1"/>
        <w:kinsoku w:val="0"/>
        <w:spacing w:line="480" w:lineRule="exact"/>
        <w:ind w:right="1151"/>
        <w:jc w:val="both"/>
        <w:rPr>
          <w:rStyle w:val="CharacterStyle2"/>
          <w:b/>
          <w:spacing w:val="3"/>
          <w:sz w:val="24"/>
          <w:szCs w:val="24"/>
        </w:rPr>
      </w:pPr>
    </w:p>
    <w:p w:rsidR="00935E63" w:rsidRPr="00F260C1" w:rsidRDefault="00935E63" w:rsidP="00935E63">
      <w:pPr>
        <w:tabs>
          <w:tab w:val="left" w:pos="142"/>
        </w:tabs>
        <w:spacing w:after="0"/>
        <w:jc w:val="both"/>
        <w:rPr>
          <w:rFonts w:ascii="Times New Roman" w:hAnsi="Times New Roman" w:cs="Times New Roman"/>
          <w:b/>
          <w:sz w:val="24"/>
          <w:szCs w:val="24"/>
        </w:rPr>
      </w:pPr>
      <w:r w:rsidRPr="00F260C1">
        <w:rPr>
          <w:rFonts w:ascii="Times New Roman" w:hAnsi="Times New Roman" w:cs="Times New Roman"/>
          <w:b/>
          <w:sz w:val="24"/>
          <w:szCs w:val="24"/>
        </w:rPr>
        <w:t xml:space="preserve">Lecce, </w:t>
      </w:r>
      <w:r>
        <w:rPr>
          <w:rFonts w:ascii="Times New Roman" w:hAnsi="Times New Roman" w:cs="Times New Roman"/>
          <w:b/>
          <w:sz w:val="24"/>
          <w:szCs w:val="24"/>
        </w:rPr>
        <w:t>4</w:t>
      </w:r>
      <w:r w:rsidR="003345FC">
        <w:rPr>
          <w:rFonts w:ascii="Times New Roman" w:hAnsi="Times New Roman" w:cs="Times New Roman"/>
          <w:b/>
          <w:sz w:val="24"/>
          <w:szCs w:val="24"/>
        </w:rPr>
        <w:t xml:space="preserve"> aprile</w:t>
      </w:r>
      <w:r w:rsidRPr="00F260C1">
        <w:rPr>
          <w:rFonts w:ascii="Times New Roman" w:hAnsi="Times New Roman" w:cs="Times New Roman"/>
          <w:b/>
          <w:sz w:val="24"/>
          <w:szCs w:val="24"/>
        </w:rPr>
        <w:t xml:space="preserve"> 2016</w:t>
      </w:r>
    </w:p>
    <w:p w:rsidR="00935E63" w:rsidRPr="00F260C1" w:rsidRDefault="00935E63" w:rsidP="00935E63">
      <w:pPr>
        <w:tabs>
          <w:tab w:val="left" w:pos="142"/>
        </w:tabs>
        <w:spacing w:after="0"/>
        <w:jc w:val="both"/>
        <w:rPr>
          <w:rFonts w:ascii="Times New Roman" w:hAnsi="Times New Roman" w:cs="Times New Roman"/>
          <w:b/>
          <w:sz w:val="24"/>
          <w:szCs w:val="24"/>
        </w:rPr>
      </w:pPr>
      <w:r w:rsidRPr="00F260C1">
        <w:rPr>
          <w:rFonts w:ascii="Times New Roman" w:hAnsi="Times New Roman" w:cs="Times New Roman"/>
          <w:b/>
          <w:sz w:val="24"/>
          <w:szCs w:val="24"/>
        </w:rPr>
        <w:tab/>
      </w:r>
      <w:r w:rsidRPr="00F260C1">
        <w:rPr>
          <w:rFonts w:ascii="Times New Roman" w:hAnsi="Times New Roman" w:cs="Times New Roman"/>
          <w:b/>
          <w:sz w:val="24"/>
          <w:szCs w:val="24"/>
        </w:rPr>
        <w:tab/>
      </w:r>
      <w:r w:rsidRPr="00F260C1">
        <w:rPr>
          <w:rFonts w:ascii="Times New Roman" w:hAnsi="Times New Roman" w:cs="Times New Roman"/>
          <w:b/>
          <w:sz w:val="24"/>
          <w:szCs w:val="24"/>
        </w:rPr>
        <w:tab/>
      </w:r>
      <w:r w:rsidRPr="00F260C1">
        <w:rPr>
          <w:rFonts w:ascii="Times New Roman" w:hAnsi="Times New Roman" w:cs="Times New Roman"/>
          <w:b/>
          <w:sz w:val="24"/>
          <w:szCs w:val="24"/>
        </w:rPr>
        <w:tab/>
      </w:r>
      <w:r w:rsidRPr="00F260C1">
        <w:rPr>
          <w:rFonts w:ascii="Times New Roman" w:hAnsi="Times New Roman" w:cs="Times New Roman"/>
          <w:b/>
          <w:sz w:val="24"/>
          <w:szCs w:val="24"/>
        </w:rPr>
        <w:tab/>
      </w:r>
      <w:r w:rsidRPr="00F260C1">
        <w:rPr>
          <w:rFonts w:ascii="Times New Roman" w:hAnsi="Times New Roman" w:cs="Times New Roman"/>
          <w:b/>
          <w:sz w:val="24"/>
          <w:szCs w:val="24"/>
        </w:rPr>
        <w:tab/>
      </w:r>
      <w:r w:rsidRPr="00F260C1">
        <w:rPr>
          <w:rFonts w:ascii="Times New Roman" w:hAnsi="Times New Roman" w:cs="Times New Roman"/>
          <w:b/>
          <w:sz w:val="24"/>
          <w:szCs w:val="24"/>
        </w:rPr>
        <w:tab/>
      </w:r>
      <w:r w:rsidRPr="00F260C1">
        <w:rPr>
          <w:rFonts w:ascii="Times New Roman" w:hAnsi="Times New Roman" w:cs="Times New Roman"/>
          <w:b/>
          <w:sz w:val="24"/>
          <w:szCs w:val="24"/>
        </w:rPr>
        <w:tab/>
      </w:r>
      <w:r w:rsidRPr="00F260C1">
        <w:rPr>
          <w:rFonts w:ascii="Times New Roman" w:hAnsi="Times New Roman" w:cs="Times New Roman"/>
          <w:b/>
          <w:sz w:val="24"/>
          <w:szCs w:val="24"/>
        </w:rPr>
        <w:tab/>
      </w:r>
      <w:r w:rsidRPr="00F260C1">
        <w:rPr>
          <w:rFonts w:ascii="Times New Roman" w:hAnsi="Times New Roman" w:cs="Times New Roman"/>
          <w:b/>
          <w:sz w:val="24"/>
          <w:szCs w:val="24"/>
        </w:rPr>
        <w:tab/>
        <w:t>Avv. Maurizio Villani</w:t>
      </w:r>
    </w:p>
    <w:p w:rsidR="00935E63" w:rsidRPr="00F260C1" w:rsidRDefault="00935E63" w:rsidP="00935E63">
      <w:pPr>
        <w:tabs>
          <w:tab w:val="left" w:pos="142"/>
        </w:tabs>
        <w:spacing w:after="0"/>
        <w:jc w:val="both"/>
        <w:rPr>
          <w:rFonts w:ascii="Times New Roman" w:hAnsi="Times New Roman" w:cs="Times New Roman"/>
          <w:b/>
          <w:sz w:val="24"/>
          <w:szCs w:val="24"/>
        </w:rPr>
      </w:pPr>
      <w:r w:rsidRPr="00F260C1">
        <w:rPr>
          <w:rFonts w:ascii="Times New Roman" w:hAnsi="Times New Roman" w:cs="Times New Roman"/>
          <w:b/>
          <w:sz w:val="24"/>
          <w:szCs w:val="24"/>
        </w:rPr>
        <w:tab/>
      </w:r>
      <w:r w:rsidRPr="00F260C1">
        <w:rPr>
          <w:rFonts w:ascii="Times New Roman" w:hAnsi="Times New Roman" w:cs="Times New Roman"/>
          <w:b/>
          <w:sz w:val="24"/>
          <w:szCs w:val="24"/>
        </w:rPr>
        <w:tab/>
      </w:r>
      <w:r w:rsidRPr="00F260C1">
        <w:rPr>
          <w:rFonts w:ascii="Times New Roman" w:hAnsi="Times New Roman" w:cs="Times New Roman"/>
          <w:b/>
          <w:sz w:val="24"/>
          <w:szCs w:val="24"/>
        </w:rPr>
        <w:tab/>
      </w:r>
      <w:r w:rsidRPr="00F260C1">
        <w:rPr>
          <w:rFonts w:ascii="Times New Roman" w:hAnsi="Times New Roman" w:cs="Times New Roman"/>
          <w:b/>
          <w:sz w:val="24"/>
          <w:szCs w:val="24"/>
        </w:rPr>
        <w:tab/>
      </w:r>
      <w:r w:rsidRPr="00F260C1">
        <w:rPr>
          <w:rFonts w:ascii="Times New Roman" w:hAnsi="Times New Roman" w:cs="Times New Roman"/>
          <w:b/>
          <w:sz w:val="24"/>
          <w:szCs w:val="24"/>
        </w:rPr>
        <w:tab/>
      </w:r>
      <w:r w:rsidRPr="00F260C1">
        <w:rPr>
          <w:rFonts w:ascii="Times New Roman" w:hAnsi="Times New Roman" w:cs="Times New Roman"/>
          <w:b/>
          <w:sz w:val="24"/>
          <w:szCs w:val="24"/>
        </w:rPr>
        <w:tab/>
      </w:r>
      <w:r w:rsidRPr="00F260C1">
        <w:rPr>
          <w:rFonts w:ascii="Times New Roman" w:hAnsi="Times New Roman" w:cs="Times New Roman"/>
          <w:b/>
          <w:sz w:val="24"/>
          <w:szCs w:val="24"/>
        </w:rPr>
        <w:tab/>
      </w:r>
      <w:r w:rsidRPr="00F260C1">
        <w:rPr>
          <w:rFonts w:ascii="Times New Roman" w:hAnsi="Times New Roman" w:cs="Times New Roman"/>
          <w:b/>
          <w:sz w:val="24"/>
          <w:szCs w:val="24"/>
        </w:rPr>
        <w:tab/>
      </w:r>
      <w:r w:rsidRPr="00F260C1">
        <w:rPr>
          <w:rFonts w:ascii="Times New Roman" w:hAnsi="Times New Roman" w:cs="Times New Roman"/>
          <w:b/>
          <w:sz w:val="24"/>
          <w:szCs w:val="24"/>
        </w:rPr>
        <w:tab/>
      </w:r>
      <w:r w:rsidRPr="00F260C1">
        <w:rPr>
          <w:rFonts w:ascii="Times New Roman" w:hAnsi="Times New Roman" w:cs="Times New Roman"/>
          <w:b/>
          <w:sz w:val="24"/>
          <w:szCs w:val="24"/>
        </w:rPr>
        <w:tab/>
      </w:r>
    </w:p>
    <w:p w:rsidR="00935E63" w:rsidRPr="00F260C1" w:rsidRDefault="00935E63" w:rsidP="00935E63">
      <w:pPr>
        <w:tabs>
          <w:tab w:val="left" w:pos="142"/>
        </w:tabs>
        <w:spacing w:after="0"/>
        <w:jc w:val="both"/>
        <w:rPr>
          <w:rFonts w:ascii="Times New Roman" w:hAnsi="Times New Roman" w:cs="Times New Roman"/>
          <w:b/>
          <w:sz w:val="24"/>
          <w:szCs w:val="24"/>
        </w:rPr>
      </w:pPr>
    </w:p>
    <w:p w:rsidR="00935E63" w:rsidRPr="00F260C1" w:rsidRDefault="00935E63" w:rsidP="00935E63">
      <w:pPr>
        <w:spacing w:after="0" w:line="240" w:lineRule="auto"/>
        <w:ind w:left="-1530"/>
        <w:jc w:val="center"/>
        <w:rPr>
          <w:rFonts w:ascii="Times New Roman" w:eastAsia="Times New Roman" w:hAnsi="Times New Roman" w:cs="Times New Roman"/>
          <w:b/>
          <w:bCs/>
          <w:sz w:val="24"/>
          <w:szCs w:val="24"/>
        </w:rPr>
      </w:pPr>
      <w:r w:rsidRPr="00F260C1">
        <w:rPr>
          <w:rFonts w:ascii="Times New Roman" w:eastAsia="Times New Roman" w:hAnsi="Times New Roman" w:cs="Times New Roman"/>
          <w:b/>
          <w:bCs/>
          <w:sz w:val="24"/>
          <w:szCs w:val="24"/>
        </w:rPr>
        <w:t xml:space="preserve">  AVV. MAURIZIO VILLANI</w:t>
      </w:r>
    </w:p>
    <w:p w:rsidR="00935E63" w:rsidRPr="00F260C1" w:rsidRDefault="00935E63" w:rsidP="00935E63">
      <w:pPr>
        <w:keepNext/>
        <w:spacing w:after="0" w:line="240" w:lineRule="auto"/>
        <w:ind w:left="-1530"/>
        <w:jc w:val="center"/>
        <w:outlineLvl w:val="5"/>
        <w:rPr>
          <w:rFonts w:ascii="Times New Roman" w:eastAsia="Times New Roman" w:hAnsi="Times New Roman" w:cs="Times New Roman"/>
          <w:b/>
          <w:bCs/>
          <w:sz w:val="24"/>
          <w:szCs w:val="24"/>
        </w:rPr>
      </w:pPr>
      <w:r w:rsidRPr="00F260C1">
        <w:rPr>
          <w:rFonts w:ascii="Times New Roman" w:eastAsia="Times New Roman" w:hAnsi="Times New Roman" w:cs="Times New Roman"/>
          <w:b/>
          <w:bCs/>
          <w:sz w:val="24"/>
          <w:szCs w:val="24"/>
        </w:rPr>
        <w:t xml:space="preserve">      Avvocato Tributarista in Lecce</w:t>
      </w:r>
    </w:p>
    <w:p w:rsidR="00935E63" w:rsidRPr="00F260C1" w:rsidRDefault="00935E63" w:rsidP="00935E63">
      <w:pPr>
        <w:spacing w:after="0" w:line="240" w:lineRule="auto"/>
        <w:rPr>
          <w:rFonts w:ascii="Times New Roman" w:eastAsia="Times New Roman" w:hAnsi="Times New Roman" w:cs="Times New Roman"/>
          <w:b/>
          <w:sz w:val="24"/>
          <w:szCs w:val="24"/>
        </w:rPr>
      </w:pPr>
      <w:r w:rsidRPr="00F260C1">
        <w:rPr>
          <w:rFonts w:ascii="Times New Roman" w:eastAsia="Times New Roman" w:hAnsi="Times New Roman" w:cs="Times New Roman"/>
          <w:b/>
          <w:sz w:val="24"/>
          <w:szCs w:val="24"/>
        </w:rPr>
        <w:t xml:space="preserve">                                      Patrocinante in Cassazione</w:t>
      </w:r>
    </w:p>
    <w:p w:rsidR="00935E63" w:rsidRPr="00F260C1" w:rsidRDefault="00A97903" w:rsidP="00935E63">
      <w:pPr>
        <w:spacing w:after="0" w:line="240" w:lineRule="auto"/>
        <w:ind w:left="-1530"/>
        <w:jc w:val="center"/>
        <w:rPr>
          <w:rFonts w:ascii="Times New Roman" w:eastAsia="Times New Roman" w:hAnsi="Times New Roman" w:cs="Times New Roman"/>
          <w:b/>
          <w:bCs/>
          <w:sz w:val="24"/>
          <w:szCs w:val="24"/>
        </w:rPr>
      </w:pPr>
      <w:hyperlink r:id="rId8" w:history="1">
        <w:r w:rsidR="00935E63" w:rsidRPr="00F260C1">
          <w:rPr>
            <w:rFonts w:ascii="Times New Roman" w:eastAsia="Times New Roman" w:hAnsi="Times New Roman" w:cs="Times New Roman"/>
            <w:b/>
            <w:bCs/>
            <w:color w:val="0000FF"/>
            <w:sz w:val="24"/>
            <w:szCs w:val="24"/>
            <w:u w:val="single"/>
          </w:rPr>
          <w:t>www.studiotributariovillani.it</w:t>
        </w:r>
      </w:hyperlink>
      <w:r w:rsidR="00935E63" w:rsidRPr="00F260C1">
        <w:rPr>
          <w:rFonts w:ascii="Times New Roman" w:eastAsia="Times New Roman" w:hAnsi="Times New Roman" w:cs="Times New Roman"/>
          <w:b/>
          <w:bCs/>
          <w:sz w:val="24"/>
          <w:szCs w:val="24"/>
        </w:rPr>
        <w:t xml:space="preserve"> - e-mail </w:t>
      </w:r>
      <w:hyperlink r:id="rId9" w:history="1">
        <w:r w:rsidR="00935E63" w:rsidRPr="00F260C1">
          <w:rPr>
            <w:rFonts w:ascii="Times New Roman" w:eastAsia="Times New Roman" w:hAnsi="Times New Roman" w:cs="Times New Roman"/>
            <w:b/>
            <w:bCs/>
            <w:color w:val="0000FF"/>
            <w:sz w:val="24"/>
            <w:szCs w:val="24"/>
            <w:u w:val="single"/>
          </w:rPr>
          <w:t>avvocato@studiotributariovillani.it</w:t>
        </w:r>
      </w:hyperlink>
    </w:p>
    <w:p w:rsidR="00D2458A" w:rsidRDefault="00D2458A" w:rsidP="003A68D6">
      <w:pPr>
        <w:pStyle w:val="Style1"/>
        <w:kinsoku w:val="0"/>
        <w:spacing w:line="480" w:lineRule="exact"/>
        <w:ind w:right="1151"/>
        <w:jc w:val="both"/>
        <w:rPr>
          <w:rStyle w:val="CharacterStyle2"/>
          <w:b/>
          <w:spacing w:val="3"/>
          <w:sz w:val="24"/>
          <w:szCs w:val="24"/>
        </w:rPr>
      </w:pPr>
    </w:p>
    <w:p w:rsidR="00D2458A" w:rsidRDefault="00D2458A" w:rsidP="003A68D6">
      <w:pPr>
        <w:pStyle w:val="Style1"/>
        <w:kinsoku w:val="0"/>
        <w:spacing w:line="480" w:lineRule="exact"/>
        <w:ind w:right="1151"/>
        <w:jc w:val="both"/>
        <w:rPr>
          <w:rStyle w:val="CharacterStyle2"/>
          <w:b/>
          <w:spacing w:val="3"/>
          <w:sz w:val="24"/>
          <w:szCs w:val="24"/>
        </w:rPr>
      </w:pPr>
    </w:p>
    <w:p w:rsidR="00D2458A" w:rsidRDefault="00D2458A" w:rsidP="003A68D6">
      <w:pPr>
        <w:pStyle w:val="Style1"/>
        <w:kinsoku w:val="0"/>
        <w:spacing w:line="480" w:lineRule="exact"/>
        <w:ind w:right="1151"/>
        <w:jc w:val="both"/>
        <w:rPr>
          <w:rStyle w:val="CharacterStyle2"/>
          <w:b/>
          <w:spacing w:val="3"/>
          <w:sz w:val="24"/>
          <w:szCs w:val="24"/>
        </w:rPr>
      </w:pPr>
    </w:p>
    <w:p w:rsidR="00D2458A" w:rsidRDefault="00D2458A" w:rsidP="003A68D6">
      <w:pPr>
        <w:pStyle w:val="Style1"/>
        <w:kinsoku w:val="0"/>
        <w:spacing w:line="480" w:lineRule="exact"/>
        <w:ind w:right="1151"/>
        <w:jc w:val="both"/>
        <w:rPr>
          <w:rStyle w:val="CharacterStyle2"/>
          <w:b/>
          <w:spacing w:val="3"/>
          <w:sz w:val="24"/>
          <w:szCs w:val="24"/>
        </w:rPr>
      </w:pPr>
    </w:p>
    <w:p w:rsidR="00D2458A" w:rsidRDefault="00D2458A" w:rsidP="003A68D6">
      <w:pPr>
        <w:pStyle w:val="Style1"/>
        <w:kinsoku w:val="0"/>
        <w:spacing w:line="480" w:lineRule="exact"/>
        <w:ind w:right="1151"/>
        <w:jc w:val="both"/>
        <w:rPr>
          <w:rStyle w:val="CharacterStyle2"/>
          <w:b/>
          <w:spacing w:val="3"/>
          <w:sz w:val="24"/>
          <w:szCs w:val="24"/>
        </w:rPr>
      </w:pPr>
    </w:p>
    <w:p w:rsidR="00D2458A" w:rsidRDefault="00D2458A" w:rsidP="003A68D6">
      <w:pPr>
        <w:pStyle w:val="Style1"/>
        <w:kinsoku w:val="0"/>
        <w:spacing w:line="480" w:lineRule="exact"/>
        <w:ind w:right="1151"/>
        <w:jc w:val="both"/>
        <w:rPr>
          <w:rStyle w:val="CharacterStyle2"/>
          <w:b/>
          <w:spacing w:val="3"/>
          <w:sz w:val="24"/>
          <w:szCs w:val="24"/>
        </w:rPr>
      </w:pPr>
    </w:p>
    <w:sectPr w:rsidR="00D2458A" w:rsidSect="00E92209">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903" w:rsidRDefault="00A97903" w:rsidP="00846C70">
      <w:pPr>
        <w:spacing w:after="0" w:line="240" w:lineRule="auto"/>
      </w:pPr>
      <w:r>
        <w:separator/>
      </w:r>
    </w:p>
  </w:endnote>
  <w:endnote w:type="continuationSeparator" w:id="0">
    <w:p w:rsidR="00A97903" w:rsidRDefault="00A97903" w:rsidP="0084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70" w:rsidRDefault="00846C7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538323"/>
      <w:docPartObj>
        <w:docPartGallery w:val="Page Numbers (Bottom of Page)"/>
        <w:docPartUnique/>
      </w:docPartObj>
    </w:sdtPr>
    <w:sdtEndPr/>
    <w:sdtContent>
      <w:p w:rsidR="00846C70" w:rsidRDefault="00846C70">
        <w:pPr>
          <w:pStyle w:val="Pidipagina"/>
          <w:jc w:val="right"/>
        </w:pPr>
        <w:r>
          <w:fldChar w:fldCharType="begin"/>
        </w:r>
        <w:r>
          <w:instrText>PAGE   \* MERGEFORMAT</w:instrText>
        </w:r>
        <w:r>
          <w:fldChar w:fldCharType="separate"/>
        </w:r>
        <w:r w:rsidR="00FF684B">
          <w:rPr>
            <w:noProof/>
          </w:rPr>
          <w:t>1</w:t>
        </w:r>
        <w:r>
          <w:fldChar w:fldCharType="end"/>
        </w:r>
      </w:p>
    </w:sdtContent>
  </w:sdt>
  <w:p w:rsidR="00846C70" w:rsidRDefault="00846C7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70" w:rsidRDefault="00846C7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903" w:rsidRDefault="00A97903" w:rsidP="00846C70">
      <w:pPr>
        <w:spacing w:after="0" w:line="240" w:lineRule="auto"/>
      </w:pPr>
      <w:r>
        <w:separator/>
      </w:r>
    </w:p>
  </w:footnote>
  <w:footnote w:type="continuationSeparator" w:id="0">
    <w:p w:rsidR="00A97903" w:rsidRDefault="00A97903" w:rsidP="00846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70" w:rsidRDefault="00846C7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70" w:rsidRDefault="00846C7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70" w:rsidRDefault="00846C7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26D7C"/>
    <w:multiLevelType w:val="hybridMultilevel"/>
    <w:tmpl w:val="71B0E8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9B55CB"/>
    <w:multiLevelType w:val="hybridMultilevel"/>
    <w:tmpl w:val="7D8CDDC2"/>
    <w:lvl w:ilvl="0" w:tplc="0F5A538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C67F4C"/>
    <w:multiLevelType w:val="hybridMultilevel"/>
    <w:tmpl w:val="9FCAA2FC"/>
    <w:lvl w:ilvl="0" w:tplc="E64215A4">
      <w:start w:val="1"/>
      <w:numFmt w:val="upp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3E7F570E"/>
    <w:multiLevelType w:val="hybridMultilevel"/>
    <w:tmpl w:val="F5546264"/>
    <w:lvl w:ilvl="0" w:tplc="03FE6F5A">
      <w:start w:val="2"/>
      <w:numFmt w:val="upp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561827F4"/>
    <w:multiLevelType w:val="hybridMultilevel"/>
    <w:tmpl w:val="4BA8E28A"/>
    <w:lvl w:ilvl="0" w:tplc="1D72FC5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59D174F8"/>
    <w:multiLevelType w:val="hybridMultilevel"/>
    <w:tmpl w:val="7784964E"/>
    <w:lvl w:ilvl="0" w:tplc="DBA0350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D023D0"/>
    <w:multiLevelType w:val="multilevel"/>
    <w:tmpl w:val="327E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F30CB8"/>
    <w:multiLevelType w:val="hybridMultilevel"/>
    <w:tmpl w:val="B93810DC"/>
    <w:lvl w:ilvl="0" w:tplc="FD623FFA">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4F"/>
    <w:rsid w:val="00002FD6"/>
    <w:rsid w:val="00007A18"/>
    <w:rsid w:val="000406EB"/>
    <w:rsid w:val="00046AC2"/>
    <w:rsid w:val="00056D42"/>
    <w:rsid w:val="00057D68"/>
    <w:rsid w:val="0006224A"/>
    <w:rsid w:val="00062867"/>
    <w:rsid w:val="0006325B"/>
    <w:rsid w:val="00067F6B"/>
    <w:rsid w:val="000702E0"/>
    <w:rsid w:val="000720DF"/>
    <w:rsid w:val="00072727"/>
    <w:rsid w:val="00077C66"/>
    <w:rsid w:val="00085A53"/>
    <w:rsid w:val="00086309"/>
    <w:rsid w:val="00086981"/>
    <w:rsid w:val="000A29B2"/>
    <w:rsid w:val="000A4252"/>
    <w:rsid w:val="000B79D9"/>
    <w:rsid w:val="000C2E9C"/>
    <w:rsid w:val="000C4B88"/>
    <w:rsid w:val="000D1F49"/>
    <w:rsid w:val="000D25B2"/>
    <w:rsid w:val="000E3E23"/>
    <w:rsid w:val="000F0E0D"/>
    <w:rsid w:val="000F3F8C"/>
    <w:rsid w:val="000F456B"/>
    <w:rsid w:val="00101FA1"/>
    <w:rsid w:val="001026B3"/>
    <w:rsid w:val="0010629C"/>
    <w:rsid w:val="001073AD"/>
    <w:rsid w:val="0011106F"/>
    <w:rsid w:val="00112547"/>
    <w:rsid w:val="00120F08"/>
    <w:rsid w:val="00123118"/>
    <w:rsid w:val="00123362"/>
    <w:rsid w:val="001417B6"/>
    <w:rsid w:val="001418CD"/>
    <w:rsid w:val="00147D00"/>
    <w:rsid w:val="00153D20"/>
    <w:rsid w:val="00154CFB"/>
    <w:rsid w:val="00156430"/>
    <w:rsid w:val="00164A16"/>
    <w:rsid w:val="00167412"/>
    <w:rsid w:val="00167B14"/>
    <w:rsid w:val="001752F6"/>
    <w:rsid w:val="001809BD"/>
    <w:rsid w:val="0019029A"/>
    <w:rsid w:val="0019245A"/>
    <w:rsid w:val="001B156F"/>
    <w:rsid w:val="001B4841"/>
    <w:rsid w:val="001B4AD5"/>
    <w:rsid w:val="001B4D8F"/>
    <w:rsid w:val="001C7C27"/>
    <w:rsid w:val="001D5DD2"/>
    <w:rsid w:val="001D6C82"/>
    <w:rsid w:val="001E24CC"/>
    <w:rsid w:val="001E667F"/>
    <w:rsid w:val="00201782"/>
    <w:rsid w:val="002024F7"/>
    <w:rsid w:val="00203863"/>
    <w:rsid w:val="00205008"/>
    <w:rsid w:val="00206B38"/>
    <w:rsid w:val="00207049"/>
    <w:rsid w:val="002131E3"/>
    <w:rsid w:val="00215865"/>
    <w:rsid w:val="00216477"/>
    <w:rsid w:val="00217A9E"/>
    <w:rsid w:val="00223DCF"/>
    <w:rsid w:val="00231CA7"/>
    <w:rsid w:val="00243A9E"/>
    <w:rsid w:val="00246126"/>
    <w:rsid w:val="00250D4A"/>
    <w:rsid w:val="00250E76"/>
    <w:rsid w:val="00252934"/>
    <w:rsid w:val="002615FC"/>
    <w:rsid w:val="00262C0B"/>
    <w:rsid w:val="00263F79"/>
    <w:rsid w:val="002660AB"/>
    <w:rsid w:val="0027068D"/>
    <w:rsid w:val="00270998"/>
    <w:rsid w:val="00270A88"/>
    <w:rsid w:val="00282BBB"/>
    <w:rsid w:val="00283506"/>
    <w:rsid w:val="002902DF"/>
    <w:rsid w:val="002A1363"/>
    <w:rsid w:val="002A72E0"/>
    <w:rsid w:val="002C08E4"/>
    <w:rsid w:val="002C093B"/>
    <w:rsid w:val="002C5043"/>
    <w:rsid w:val="002D431F"/>
    <w:rsid w:val="002E4FFB"/>
    <w:rsid w:val="002E5785"/>
    <w:rsid w:val="002F5E0A"/>
    <w:rsid w:val="00301485"/>
    <w:rsid w:val="0030520F"/>
    <w:rsid w:val="00307205"/>
    <w:rsid w:val="00311BBB"/>
    <w:rsid w:val="00314E5D"/>
    <w:rsid w:val="00323533"/>
    <w:rsid w:val="0032391E"/>
    <w:rsid w:val="00324013"/>
    <w:rsid w:val="0032567B"/>
    <w:rsid w:val="00327FA8"/>
    <w:rsid w:val="00332167"/>
    <w:rsid w:val="003345FC"/>
    <w:rsid w:val="00353C19"/>
    <w:rsid w:val="003574A5"/>
    <w:rsid w:val="003912ED"/>
    <w:rsid w:val="00391D0E"/>
    <w:rsid w:val="00391E54"/>
    <w:rsid w:val="003A13C6"/>
    <w:rsid w:val="003A58D6"/>
    <w:rsid w:val="003A5F79"/>
    <w:rsid w:val="003A68D6"/>
    <w:rsid w:val="003A7370"/>
    <w:rsid w:val="003B139D"/>
    <w:rsid w:val="003B7EA2"/>
    <w:rsid w:val="003C5F35"/>
    <w:rsid w:val="003D2F10"/>
    <w:rsid w:val="003D452B"/>
    <w:rsid w:val="003D5DEE"/>
    <w:rsid w:val="003E7594"/>
    <w:rsid w:val="004050B8"/>
    <w:rsid w:val="00413521"/>
    <w:rsid w:val="00417BD7"/>
    <w:rsid w:val="00423F33"/>
    <w:rsid w:val="0042540C"/>
    <w:rsid w:val="00425B8F"/>
    <w:rsid w:val="00426117"/>
    <w:rsid w:val="0042638E"/>
    <w:rsid w:val="0043096C"/>
    <w:rsid w:val="004335B7"/>
    <w:rsid w:val="00445747"/>
    <w:rsid w:val="0045684F"/>
    <w:rsid w:val="00475935"/>
    <w:rsid w:val="00477721"/>
    <w:rsid w:val="00483AC8"/>
    <w:rsid w:val="00487732"/>
    <w:rsid w:val="00490195"/>
    <w:rsid w:val="004906D2"/>
    <w:rsid w:val="00492EEC"/>
    <w:rsid w:val="00494E32"/>
    <w:rsid w:val="004A13B9"/>
    <w:rsid w:val="004B067B"/>
    <w:rsid w:val="004B2CB1"/>
    <w:rsid w:val="004B44AE"/>
    <w:rsid w:val="004B7D83"/>
    <w:rsid w:val="004C156A"/>
    <w:rsid w:val="004C325C"/>
    <w:rsid w:val="004D2FFE"/>
    <w:rsid w:val="004E605A"/>
    <w:rsid w:val="004E7A36"/>
    <w:rsid w:val="004F11DD"/>
    <w:rsid w:val="004F5E8C"/>
    <w:rsid w:val="004F61F9"/>
    <w:rsid w:val="005111BA"/>
    <w:rsid w:val="005178BC"/>
    <w:rsid w:val="00524E0C"/>
    <w:rsid w:val="0053568A"/>
    <w:rsid w:val="00537673"/>
    <w:rsid w:val="00546C95"/>
    <w:rsid w:val="00552353"/>
    <w:rsid w:val="00556520"/>
    <w:rsid w:val="0056043C"/>
    <w:rsid w:val="0056060F"/>
    <w:rsid w:val="0056177B"/>
    <w:rsid w:val="00575BA8"/>
    <w:rsid w:val="00576FC2"/>
    <w:rsid w:val="00591DFF"/>
    <w:rsid w:val="005A30F4"/>
    <w:rsid w:val="005A3BC1"/>
    <w:rsid w:val="005A3C7C"/>
    <w:rsid w:val="005A5FB8"/>
    <w:rsid w:val="005B0F36"/>
    <w:rsid w:val="005B61A7"/>
    <w:rsid w:val="005C1265"/>
    <w:rsid w:val="005C141A"/>
    <w:rsid w:val="005C4356"/>
    <w:rsid w:val="005C6033"/>
    <w:rsid w:val="005D50A4"/>
    <w:rsid w:val="005E369E"/>
    <w:rsid w:val="005E5E86"/>
    <w:rsid w:val="005F62E1"/>
    <w:rsid w:val="005F6754"/>
    <w:rsid w:val="00605E2E"/>
    <w:rsid w:val="006106B8"/>
    <w:rsid w:val="006205FB"/>
    <w:rsid w:val="00621F0B"/>
    <w:rsid w:val="00625F8E"/>
    <w:rsid w:val="00632B97"/>
    <w:rsid w:val="00637EFA"/>
    <w:rsid w:val="006475FE"/>
    <w:rsid w:val="00660416"/>
    <w:rsid w:val="00683234"/>
    <w:rsid w:val="006913E0"/>
    <w:rsid w:val="006A1839"/>
    <w:rsid w:val="006A2982"/>
    <w:rsid w:val="006A2A65"/>
    <w:rsid w:val="006B71A0"/>
    <w:rsid w:val="006D0E82"/>
    <w:rsid w:val="006D2EF5"/>
    <w:rsid w:val="006D5339"/>
    <w:rsid w:val="006E25B9"/>
    <w:rsid w:val="006E47CA"/>
    <w:rsid w:val="006E6A43"/>
    <w:rsid w:val="006E7E3B"/>
    <w:rsid w:val="006F7701"/>
    <w:rsid w:val="007011D2"/>
    <w:rsid w:val="007020D4"/>
    <w:rsid w:val="00711015"/>
    <w:rsid w:val="00713267"/>
    <w:rsid w:val="007253B3"/>
    <w:rsid w:val="007322CE"/>
    <w:rsid w:val="007359B4"/>
    <w:rsid w:val="00742099"/>
    <w:rsid w:val="00745A47"/>
    <w:rsid w:val="007518B4"/>
    <w:rsid w:val="00756147"/>
    <w:rsid w:val="00764891"/>
    <w:rsid w:val="007672C8"/>
    <w:rsid w:val="00767BCB"/>
    <w:rsid w:val="00791AA6"/>
    <w:rsid w:val="00797FC2"/>
    <w:rsid w:val="007B49D5"/>
    <w:rsid w:val="007B6812"/>
    <w:rsid w:val="007C3508"/>
    <w:rsid w:val="007C4ECF"/>
    <w:rsid w:val="007C5D21"/>
    <w:rsid w:val="007C77EF"/>
    <w:rsid w:val="007D2AED"/>
    <w:rsid w:val="007E4CC1"/>
    <w:rsid w:val="007E666F"/>
    <w:rsid w:val="007F391C"/>
    <w:rsid w:val="007F5D89"/>
    <w:rsid w:val="0081704A"/>
    <w:rsid w:val="00822976"/>
    <w:rsid w:val="00824F9C"/>
    <w:rsid w:val="00841CC9"/>
    <w:rsid w:val="00841F35"/>
    <w:rsid w:val="00846B3B"/>
    <w:rsid w:val="00846C70"/>
    <w:rsid w:val="0085099E"/>
    <w:rsid w:val="00852809"/>
    <w:rsid w:val="0085650C"/>
    <w:rsid w:val="00861AB6"/>
    <w:rsid w:val="00876210"/>
    <w:rsid w:val="00883900"/>
    <w:rsid w:val="00884A16"/>
    <w:rsid w:val="00886949"/>
    <w:rsid w:val="00892D8C"/>
    <w:rsid w:val="00894B54"/>
    <w:rsid w:val="00896683"/>
    <w:rsid w:val="00897AA6"/>
    <w:rsid w:val="008A40E2"/>
    <w:rsid w:val="008B1A3B"/>
    <w:rsid w:val="008C31D2"/>
    <w:rsid w:val="008C3424"/>
    <w:rsid w:val="008C6973"/>
    <w:rsid w:val="008D0A13"/>
    <w:rsid w:val="008D756E"/>
    <w:rsid w:val="008E0097"/>
    <w:rsid w:val="008E3151"/>
    <w:rsid w:val="008F3727"/>
    <w:rsid w:val="008F4ADA"/>
    <w:rsid w:val="00900707"/>
    <w:rsid w:val="009036E9"/>
    <w:rsid w:val="00913DE7"/>
    <w:rsid w:val="0091618E"/>
    <w:rsid w:val="00923FD7"/>
    <w:rsid w:val="00924618"/>
    <w:rsid w:val="00924BA4"/>
    <w:rsid w:val="0093021F"/>
    <w:rsid w:val="00935E63"/>
    <w:rsid w:val="0094435A"/>
    <w:rsid w:val="00950828"/>
    <w:rsid w:val="00951001"/>
    <w:rsid w:val="0095497E"/>
    <w:rsid w:val="009555DD"/>
    <w:rsid w:val="00961915"/>
    <w:rsid w:val="00964A47"/>
    <w:rsid w:val="00970862"/>
    <w:rsid w:val="009722A3"/>
    <w:rsid w:val="009728E3"/>
    <w:rsid w:val="0097350F"/>
    <w:rsid w:val="00973772"/>
    <w:rsid w:val="009740B7"/>
    <w:rsid w:val="009845D8"/>
    <w:rsid w:val="00986846"/>
    <w:rsid w:val="0099387E"/>
    <w:rsid w:val="009A535D"/>
    <w:rsid w:val="009B0EB1"/>
    <w:rsid w:val="009C7F8E"/>
    <w:rsid w:val="009E5482"/>
    <w:rsid w:val="009E5D57"/>
    <w:rsid w:val="009F02D7"/>
    <w:rsid w:val="009F45A5"/>
    <w:rsid w:val="00A04B72"/>
    <w:rsid w:val="00A0696D"/>
    <w:rsid w:val="00A121E8"/>
    <w:rsid w:val="00A15A43"/>
    <w:rsid w:val="00A24557"/>
    <w:rsid w:val="00A2576B"/>
    <w:rsid w:val="00A36B66"/>
    <w:rsid w:val="00A47D0E"/>
    <w:rsid w:val="00A56715"/>
    <w:rsid w:val="00A60ED1"/>
    <w:rsid w:val="00A75D2E"/>
    <w:rsid w:val="00A76CFA"/>
    <w:rsid w:val="00A83018"/>
    <w:rsid w:val="00A83332"/>
    <w:rsid w:val="00A97903"/>
    <w:rsid w:val="00A97ECA"/>
    <w:rsid w:val="00AA463A"/>
    <w:rsid w:val="00AA4915"/>
    <w:rsid w:val="00AA4B19"/>
    <w:rsid w:val="00AA6E11"/>
    <w:rsid w:val="00AA75F1"/>
    <w:rsid w:val="00AB0992"/>
    <w:rsid w:val="00AB31A3"/>
    <w:rsid w:val="00AB7AEB"/>
    <w:rsid w:val="00AD4302"/>
    <w:rsid w:val="00AD5D3D"/>
    <w:rsid w:val="00AE1472"/>
    <w:rsid w:val="00AF04CE"/>
    <w:rsid w:val="00AF26A8"/>
    <w:rsid w:val="00B003A1"/>
    <w:rsid w:val="00B172CF"/>
    <w:rsid w:val="00B224EF"/>
    <w:rsid w:val="00B43B78"/>
    <w:rsid w:val="00B47389"/>
    <w:rsid w:val="00B474FF"/>
    <w:rsid w:val="00B5710C"/>
    <w:rsid w:val="00B6007F"/>
    <w:rsid w:val="00B675C0"/>
    <w:rsid w:val="00B7294E"/>
    <w:rsid w:val="00B74D6A"/>
    <w:rsid w:val="00B76C53"/>
    <w:rsid w:val="00B8550E"/>
    <w:rsid w:val="00B902C5"/>
    <w:rsid w:val="00BA2788"/>
    <w:rsid w:val="00BA4A50"/>
    <w:rsid w:val="00BA7171"/>
    <w:rsid w:val="00BB14EC"/>
    <w:rsid w:val="00BB1B8B"/>
    <w:rsid w:val="00BB382E"/>
    <w:rsid w:val="00BB4FC7"/>
    <w:rsid w:val="00BD5560"/>
    <w:rsid w:val="00BE200A"/>
    <w:rsid w:val="00BE4B34"/>
    <w:rsid w:val="00BF6D25"/>
    <w:rsid w:val="00C048BF"/>
    <w:rsid w:val="00C07ABB"/>
    <w:rsid w:val="00C144A4"/>
    <w:rsid w:val="00C204FC"/>
    <w:rsid w:val="00C30472"/>
    <w:rsid w:val="00C31E5C"/>
    <w:rsid w:val="00C41E4B"/>
    <w:rsid w:val="00C53F95"/>
    <w:rsid w:val="00C54586"/>
    <w:rsid w:val="00C556C2"/>
    <w:rsid w:val="00C56A67"/>
    <w:rsid w:val="00C56CD4"/>
    <w:rsid w:val="00C61F26"/>
    <w:rsid w:val="00C65B83"/>
    <w:rsid w:val="00C71D88"/>
    <w:rsid w:val="00C72836"/>
    <w:rsid w:val="00C73CC2"/>
    <w:rsid w:val="00C775BE"/>
    <w:rsid w:val="00C8264A"/>
    <w:rsid w:val="00C87C20"/>
    <w:rsid w:val="00C9432E"/>
    <w:rsid w:val="00CA1E90"/>
    <w:rsid w:val="00CA51B2"/>
    <w:rsid w:val="00CB015E"/>
    <w:rsid w:val="00CC2350"/>
    <w:rsid w:val="00CD6FC0"/>
    <w:rsid w:val="00CD7B49"/>
    <w:rsid w:val="00CE01AD"/>
    <w:rsid w:val="00CF348B"/>
    <w:rsid w:val="00CF730A"/>
    <w:rsid w:val="00D201B4"/>
    <w:rsid w:val="00D2458A"/>
    <w:rsid w:val="00D30E85"/>
    <w:rsid w:val="00D44B0C"/>
    <w:rsid w:val="00D56813"/>
    <w:rsid w:val="00D60C63"/>
    <w:rsid w:val="00D61A85"/>
    <w:rsid w:val="00D62D77"/>
    <w:rsid w:val="00D6385D"/>
    <w:rsid w:val="00D67F01"/>
    <w:rsid w:val="00D72708"/>
    <w:rsid w:val="00D7496B"/>
    <w:rsid w:val="00D80E93"/>
    <w:rsid w:val="00D86C34"/>
    <w:rsid w:val="00D91CA9"/>
    <w:rsid w:val="00D93411"/>
    <w:rsid w:val="00D94314"/>
    <w:rsid w:val="00DA002D"/>
    <w:rsid w:val="00DA5848"/>
    <w:rsid w:val="00DB164E"/>
    <w:rsid w:val="00DC19D2"/>
    <w:rsid w:val="00DD579D"/>
    <w:rsid w:val="00DE123F"/>
    <w:rsid w:val="00DE14F2"/>
    <w:rsid w:val="00DE2BB8"/>
    <w:rsid w:val="00DE316B"/>
    <w:rsid w:val="00DF6894"/>
    <w:rsid w:val="00E002E9"/>
    <w:rsid w:val="00E022AC"/>
    <w:rsid w:val="00E04BE2"/>
    <w:rsid w:val="00E201BD"/>
    <w:rsid w:val="00E20A0C"/>
    <w:rsid w:val="00E22E11"/>
    <w:rsid w:val="00E23346"/>
    <w:rsid w:val="00E2593F"/>
    <w:rsid w:val="00E2626F"/>
    <w:rsid w:val="00E26502"/>
    <w:rsid w:val="00E42977"/>
    <w:rsid w:val="00E53533"/>
    <w:rsid w:val="00E570DD"/>
    <w:rsid w:val="00E621C8"/>
    <w:rsid w:val="00E77826"/>
    <w:rsid w:val="00E81DA4"/>
    <w:rsid w:val="00E92209"/>
    <w:rsid w:val="00E93E9C"/>
    <w:rsid w:val="00EA07CA"/>
    <w:rsid w:val="00EA472F"/>
    <w:rsid w:val="00EA4AFB"/>
    <w:rsid w:val="00EC0566"/>
    <w:rsid w:val="00EC0950"/>
    <w:rsid w:val="00EC24B1"/>
    <w:rsid w:val="00EC5CE6"/>
    <w:rsid w:val="00EC6B91"/>
    <w:rsid w:val="00EE20AE"/>
    <w:rsid w:val="00EF3DE5"/>
    <w:rsid w:val="00EF64BE"/>
    <w:rsid w:val="00F1084C"/>
    <w:rsid w:val="00F163CF"/>
    <w:rsid w:val="00F1700B"/>
    <w:rsid w:val="00F20C58"/>
    <w:rsid w:val="00F260C1"/>
    <w:rsid w:val="00F27BD0"/>
    <w:rsid w:val="00F30436"/>
    <w:rsid w:val="00F36A60"/>
    <w:rsid w:val="00F40839"/>
    <w:rsid w:val="00F443D0"/>
    <w:rsid w:val="00F47DF9"/>
    <w:rsid w:val="00F50A9B"/>
    <w:rsid w:val="00F51C77"/>
    <w:rsid w:val="00F615C0"/>
    <w:rsid w:val="00F62690"/>
    <w:rsid w:val="00F70700"/>
    <w:rsid w:val="00F765B5"/>
    <w:rsid w:val="00F81223"/>
    <w:rsid w:val="00F85FF1"/>
    <w:rsid w:val="00F907BC"/>
    <w:rsid w:val="00F9589D"/>
    <w:rsid w:val="00F96B37"/>
    <w:rsid w:val="00FA3EF9"/>
    <w:rsid w:val="00FA75C7"/>
    <w:rsid w:val="00FB1143"/>
    <w:rsid w:val="00FB16D1"/>
    <w:rsid w:val="00FB290C"/>
    <w:rsid w:val="00FB4985"/>
    <w:rsid w:val="00FB5AE0"/>
    <w:rsid w:val="00FB7EA1"/>
    <w:rsid w:val="00FC2178"/>
    <w:rsid w:val="00FC5DDC"/>
    <w:rsid w:val="00FD5941"/>
    <w:rsid w:val="00FE1BC1"/>
    <w:rsid w:val="00FE32D6"/>
    <w:rsid w:val="00FE645D"/>
    <w:rsid w:val="00FF2F0B"/>
    <w:rsid w:val="00FF68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5750F-CE88-41CA-A269-3DEB04AF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EA07CA"/>
    <w:pPr>
      <w:spacing w:before="100" w:beforeAutospacing="1" w:after="100" w:afterAutospacing="1" w:line="240" w:lineRule="auto"/>
      <w:outlineLvl w:val="0"/>
    </w:pPr>
    <w:rPr>
      <w:rFonts w:ascii="Times New Roman" w:eastAsia="Times New Roman" w:hAnsi="Times New Roman" w:cs="Times New Roman"/>
      <w:b/>
      <w:bCs/>
      <w:color w:val="990033"/>
      <w:kern w:val="36"/>
      <w:sz w:val="36"/>
      <w:szCs w:val="36"/>
    </w:rPr>
  </w:style>
  <w:style w:type="paragraph" w:styleId="Titolo2">
    <w:name w:val="heading 2"/>
    <w:basedOn w:val="Normale"/>
    <w:next w:val="Normale"/>
    <w:link w:val="Titolo2Carattere"/>
    <w:uiPriority w:val="9"/>
    <w:semiHidden/>
    <w:unhideWhenUsed/>
    <w:qFormat/>
    <w:rsid w:val="005E36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semiHidden/>
    <w:unhideWhenUsed/>
    <w:qFormat/>
    <w:rsid w:val="002706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56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21">
    <w:name w:val="t21"/>
    <w:basedOn w:val="Carpredefinitoparagrafo"/>
    <w:rsid w:val="00AA4B19"/>
    <w:rPr>
      <w:rFonts w:ascii="Arial" w:hAnsi="Arial" w:cs="Arial" w:hint="default"/>
      <w:b w:val="0"/>
      <w:bCs w:val="0"/>
      <w:i w:val="0"/>
      <w:iCs w:val="0"/>
      <w:strike w:val="0"/>
      <w:dstrike w:val="0"/>
      <w:color w:val="000000"/>
      <w:sz w:val="20"/>
      <w:szCs w:val="20"/>
      <w:u w:val="none"/>
      <w:effect w:val="none"/>
    </w:rPr>
  </w:style>
  <w:style w:type="character" w:customStyle="1" w:styleId="Titolo1Carattere">
    <w:name w:val="Titolo 1 Carattere"/>
    <w:basedOn w:val="Carpredefinitoparagrafo"/>
    <w:link w:val="Titolo1"/>
    <w:uiPriority w:val="9"/>
    <w:rsid w:val="00EA07CA"/>
    <w:rPr>
      <w:rFonts w:ascii="Times New Roman" w:eastAsia="Times New Roman" w:hAnsi="Times New Roman" w:cs="Times New Roman"/>
      <w:b/>
      <w:bCs/>
      <w:color w:val="990033"/>
      <w:kern w:val="36"/>
      <w:sz w:val="36"/>
      <w:szCs w:val="36"/>
      <w:lang w:eastAsia="it-IT"/>
    </w:rPr>
  </w:style>
  <w:style w:type="character" w:styleId="Enfasigrassetto">
    <w:name w:val="Strong"/>
    <w:basedOn w:val="Carpredefinitoparagrafo"/>
    <w:uiPriority w:val="22"/>
    <w:qFormat/>
    <w:rsid w:val="00243A9E"/>
    <w:rPr>
      <w:b/>
      <w:bCs/>
    </w:rPr>
  </w:style>
  <w:style w:type="character" w:customStyle="1" w:styleId="Titolo2Carattere">
    <w:name w:val="Titolo 2 Carattere"/>
    <w:basedOn w:val="Carpredefinitoparagrafo"/>
    <w:link w:val="Titolo2"/>
    <w:uiPriority w:val="9"/>
    <w:semiHidden/>
    <w:rsid w:val="005E369E"/>
    <w:rPr>
      <w:rFonts w:asciiTheme="majorHAnsi" w:eastAsiaTheme="majorEastAsia" w:hAnsiTheme="majorHAnsi" w:cstheme="majorBidi"/>
      <w:b/>
      <w:bCs/>
      <w:color w:val="4F81BD" w:themeColor="accent1"/>
      <w:sz w:val="26"/>
      <w:szCs w:val="26"/>
    </w:rPr>
  </w:style>
  <w:style w:type="paragraph" w:customStyle="1" w:styleId="dottger1">
    <w:name w:val="dottge_r1"/>
    <w:basedOn w:val="Normale"/>
    <w:rsid w:val="00B5710C"/>
    <w:pPr>
      <w:spacing w:before="100" w:beforeAutospacing="1" w:after="100" w:afterAutospacing="1" w:line="240" w:lineRule="auto"/>
      <w:ind w:left="100" w:right="100"/>
      <w:jc w:val="both"/>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846C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6C70"/>
  </w:style>
  <w:style w:type="paragraph" w:styleId="Pidipagina">
    <w:name w:val="footer"/>
    <w:basedOn w:val="Normale"/>
    <w:link w:val="PidipaginaCarattere"/>
    <w:uiPriority w:val="99"/>
    <w:unhideWhenUsed/>
    <w:rsid w:val="00846C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6C70"/>
  </w:style>
  <w:style w:type="paragraph" w:styleId="Testofumetto">
    <w:name w:val="Balloon Text"/>
    <w:basedOn w:val="Normale"/>
    <w:link w:val="TestofumettoCarattere"/>
    <w:uiPriority w:val="99"/>
    <w:semiHidden/>
    <w:unhideWhenUsed/>
    <w:rsid w:val="006604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0416"/>
    <w:rPr>
      <w:rFonts w:ascii="Tahoma" w:hAnsi="Tahoma" w:cs="Tahoma"/>
      <w:sz w:val="16"/>
      <w:szCs w:val="16"/>
    </w:rPr>
  </w:style>
  <w:style w:type="paragraph" w:customStyle="1" w:styleId="Style1">
    <w:name w:val="Style 1"/>
    <w:basedOn w:val="Normale"/>
    <w:uiPriority w:val="99"/>
    <w:rsid w:val="00546C9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546C95"/>
    <w:rPr>
      <w:sz w:val="20"/>
      <w:szCs w:val="20"/>
    </w:rPr>
  </w:style>
  <w:style w:type="paragraph" w:styleId="Paragrafoelenco">
    <w:name w:val="List Paragraph"/>
    <w:basedOn w:val="Normale"/>
    <w:uiPriority w:val="34"/>
    <w:qFormat/>
    <w:rsid w:val="007C77EF"/>
    <w:pPr>
      <w:ind w:left="720"/>
      <w:contextualSpacing/>
    </w:pPr>
  </w:style>
  <w:style w:type="character" w:customStyle="1" w:styleId="Titolo6Carattere">
    <w:name w:val="Titolo 6 Carattere"/>
    <w:basedOn w:val="Carpredefinitoparagrafo"/>
    <w:link w:val="Titolo6"/>
    <w:uiPriority w:val="9"/>
    <w:semiHidden/>
    <w:rsid w:val="0027068D"/>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6193">
      <w:bodyDiv w:val="1"/>
      <w:marLeft w:val="0"/>
      <w:marRight w:val="0"/>
      <w:marTop w:val="100"/>
      <w:marBottom w:val="100"/>
      <w:divBdr>
        <w:top w:val="none" w:sz="0" w:space="0" w:color="auto"/>
        <w:left w:val="none" w:sz="0" w:space="0" w:color="auto"/>
        <w:bottom w:val="none" w:sz="0" w:space="0" w:color="auto"/>
        <w:right w:val="none" w:sz="0" w:space="0" w:color="auto"/>
      </w:divBdr>
      <w:divsChild>
        <w:div w:id="1922911844">
          <w:marLeft w:val="0"/>
          <w:marRight w:val="0"/>
          <w:marTop w:val="0"/>
          <w:marBottom w:val="0"/>
          <w:divBdr>
            <w:top w:val="none" w:sz="0" w:space="0" w:color="auto"/>
            <w:left w:val="none" w:sz="0" w:space="0" w:color="auto"/>
            <w:bottom w:val="none" w:sz="0" w:space="0" w:color="auto"/>
            <w:right w:val="none" w:sz="0" w:space="0" w:color="auto"/>
          </w:divBdr>
          <w:divsChild>
            <w:div w:id="1709649623">
              <w:marLeft w:val="0"/>
              <w:marRight w:val="0"/>
              <w:marTop w:val="0"/>
              <w:marBottom w:val="0"/>
              <w:divBdr>
                <w:top w:val="none" w:sz="0" w:space="0" w:color="auto"/>
                <w:left w:val="none" w:sz="0" w:space="0" w:color="auto"/>
                <w:bottom w:val="none" w:sz="0" w:space="0" w:color="auto"/>
                <w:right w:val="none" w:sz="0" w:space="0" w:color="auto"/>
              </w:divBdr>
              <w:divsChild>
                <w:div w:id="391464150">
                  <w:marLeft w:val="0"/>
                  <w:marRight w:val="0"/>
                  <w:marTop w:val="0"/>
                  <w:marBottom w:val="0"/>
                  <w:divBdr>
                    <w:top w:val="none" w:sz="0" w:space="0" w:color="auto"/>
                    <w:left w:val="none" w:sz="0" w:space="0" w:color="auto"/>
                    <w:bottom w:val="none" w:sz="0" w:space="0" w:color="auto"/>
                    <w:right w:val="none" w:sz="0" w:space="0" w:color="auto"/>
                  </w:divBdr>
                  <w:divsChild>
                    <w:div w:id="310058347">
                      <w:marLeft w:val="0"/>
                      <w:marRight w:val="0"/>
                      <w:marTop w:val="0"/>
                      <w:marBottom w:val="0"/>
                      <w:divBdr>
                        <w:top w:val="single" w:sz="6" w:space="11" w:color="DDDDDD"/>
                        <w:left w:val="none" w:sz="0" w:space="0" w:color="auto"/>
                        <w:bottom w:val="none" w:sz="0" w:space="0" w:color="auto"/>
                        <w:right w:val="none" w:sz="0" w:space="0" w:color="auto"/>
                      </w:divBdr>
                      <w:divsChild>
                        <w:div w:id="319121479">
                          <w:marLeft w:val="0"/>
                          <w:marRight w:val="0"/>
                          <w:marTop w:val="0"/>
                          <w:marBottom w:val="0"/>
                          <w:divBdr>
                            <w:top w:val="none" w:sz="0" w:space="0" w:color="auto"/>
                            <w:left w:val="none" w:sz="0" w:space="0" w:color="auto"/>
                            <w:bottom w:val="none" w:sz="0" w:space="0" w:color="auto"/>
                            <w:right w:val="none" w:sz="0" w:space="0" w:color="auto"/>
                          </w:divBdr>
                          <w:divsChild>
                            <w:div w:id="1839538826">
                              <w:marLeft w:val="0"/>
                              <w:marRight w:val="0"/>
                              <w:marTop w:val="0"/>
                              <w:marBottom w:val="0"/>
                              <w:divBdr>
                                <w:top w:val="none" w:sz="0" w:space="0" w:color="auto"/>
                                <w:left w:val="none" w:sz="0" w:space="0" w:color="auto"/>
                                <w:bottom w:val="none" w:sz="0" w:space="0" w:color="auto"/>
                                <w:right w:val="none" w:sz="0" w:space="0" w:color="auto"/>
                              </w:divBdr>
                              <w:divsChild>
                                <w:div w:id="295574589">
                                  <w:marLeft w:val="0"/>
                                  <w:marRight w:val="0"/>
                                  <w:marTop w:val="0"/>
                                  <w:marBottom w:val="0"/>
                                  <w:divBdr>
                                    <w:top w:val="none" w:sz="0" w:space="0" w:color="auto"/>
                                    <w:left w:val="none" w:sz="0" w:space="0" w:color="auto"/>
                                    <w:bottom w:val="none" w:sz="0" w:space="0" w:color="auto"/>
                                    <w:right w:val="none" w:sz="0" w:space="0" w:color="auto"/>
                                  </w:divBdr>
                                  <w:divsChild>
                                    <w:div w:id="1770930090">
                                      <w:marLeft w:val="0"/>
                                      <w:marRight w:val="0"/>
                                      <w:marTop w:val="0"/>
                                      <w:marBottom w:val="0"/>
                                      <w:divBdr>
                                        <w:top w:val="none" w:sz="0" w:space="0" w:color="auto"/>
                                        <w:left w:val="none" w:sz="0" w:space="0" w:color="auto"/>
                                        <w:bottom w:val="none" w:sz="0" w:space="0" w:color="auto"/>
                                        <w:right w:val="none" w:sz="0" w:space="0" w:color="auto"/>
                                      </w:divBdr>
                                    </w:div>
                                    <w:div w:id="138085041">
                                      <w:marLeft w:val="0"/>
                                      <w:marRight w:val="0"/>
                                      <w:marTop w:val="0"/>
                                      <w:marBottom w:val="0"/>
                                      <w:divBdr>
                                        <w:top w:val="none" w:sz="0" w:space="0" w:color="auto"/>
                                        <w:left w:val="none" w:sz="0" w:space="0" w:color="auto"/>
                                        <w:bottom w:val="none" w:sz="0" w:space="0" w:color="auto"/>
                                        <w:right w:val="none" w:sz="0" w:space="0" w:color="auto"/>
                                      </w:divBdr>
                                    </w:div>
                                    <w:div w:id="1513060741">
                                      <w:marLeft w:val="0"/>
                                      <w:marRight w:val="0"/>
                                      <w:marTop w:val="0"/>
                                      <w:marBottom w:val="0"/>
                                      <w:divBdr>
                                        <w:top w:val="none" w:sz="0" w:space="0" w:color="auto"/>
                                        <w:left w:val="none" w:sz="0" w:space="0" w:color="auto"/>
                                        <w:bottom w:val="none" w:sz="0" w:space="0" w:color="auto"/>
                                        <w:right w:val="none" w:sz="0" w:space="0" w:color="auto"/>
                                      </w:divBdr>
                                    </w:div>
                                    <w:div w:id="90395737">
                                      <w:marLeft w:val="0"/>
                                      <w:marRight w:val="0"/>
                                      <w:marTop w:val="0"/>
                                      <w:marBottom w:val="0"/>
                                      <w:divBdr>
                                        <w:top w:val="none" w:sz="0" w:space="0" w:color="auto"/>
                                        <w:left w:val="none" w:sz="0" w:space="0" w:color="auto"/>
                                        <w:bottom w:val="none" w:sz="0" w:space="0" w:color="auto"/>
                                        <w:right w:val="none" w:sz="0" w:space="0" w:color="auto"/>
                                      </w:divBdr>
                                    </w:div>
                                    <w:div w:id="175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758903">
      <w:bodyDiv w:val="1"/>
      <w:marLeft w:val="0"/>
      <w:marRight w:val="0"/>
      <w:marTop w:val="150"/>
      <w:marBottom w:val="0"/>
      <w:divBdr>
        <w:top w:val="none" w:sz="0" w:space="0" w:color="auto"/>
        <w:left w:val="none" w:sz="0" w:space="0" w:color="auto"/>
        <w:bottom w:val="none" w:sz="0" w:space="0" w:color="auto"/>
        <w:right w:val="none" w:sz="0" w:space="0" w:color="auto"/>
      </w:divBdr>
      <w:divsChild>
        <w:div w:id="372266257">
          <w:marLeft w:val="0"/>
          <w:marRight w:val="0"/>
          <w:marTop w:val="0"/>
          <w:marBottom w:val="0"/>
          <w:divBdr>
            <w:top w:val="none" w:sz="0" w:space="0" w:color="auto"/>
            <w:left w:val="none" w:sz="0" w:space="0" w:color="auto"/>
            <w:bottom w:val="none" w:sz="0" w:space="0" w:color="auto"/>
            <w:right w:val="none" w:sz="0" w:space="0" w:color="auto"/>
          </w:divBdr>
          <w:divsChild>
            <w:div w:id="1122307030">
              <w:marLeft w:val="0"/>
              <w:marRight w:val="0"/>
              <w:marTop w:val="0"/>
              <w:marBottom w:val="0"/>
              <w:divBdr>
                <w:top w:val="none" w:sz="0" w:space="0" w:color="auto"/>
                <w:left w:val="none" w:sz="0" w:space="0" w:color="auto"/>
                <w:bottom w:val="none" w:sz="0" w:space="0" w:color="auto"/>
                <w:right w:val="none" w:sz="0" w:space="0" w:color="auto"/>
              </w:divBdr>
              <w:divsChild>
                <w:div w:id="1828782342">
                  <w:marLeft w:val="0"/>
                  <w:marRight w:val="0"/>
                  <w:marTop w:val="0"/>
                  <w:marBottom w:val="0"/>
                  <w:divBdr>
                    <w:top w:val="none" w:sz="0" w:space="0" w:color="auto"/>
                    <w:left w:val="none" w:sz="0" w:space="0" w:color="auto"/>
                    <w:bottom w:val="none" w:sz="0" w:space="0" w:color="auto"/>
                    <w:right w:val="none" w:sz="0" w:space="0" w:color="auto"/>
                  </w:divBdr>
                  <w:divsChild>
                    <w:div w:id="1191145557">
                      <w:marLeft w:val="0"/>
                      <w:marRight w:val="0"/>
                      <w:marTop w:val="0"/>
                      <w:marBottom w:val="0"/>
                      <w:divBdr>
                        <w:top w:val="none" w:sz="0" w:space="0" w:color="auto"/>
                        <w:left w:val="none" w:sz="0" w:space="0" w:color="auto"/>
                        <w:bottom w:val="none" w:sz="0" w:space="0" w:color="auto"/>
                        <w:right w:val="none" w:sz="0" w:space="0" w:color="auto"/>
                      </w:divBdr>
                    </w:div>
                    <w:div w:id="79255818">
                      <w:marLeft w:val="0"/>
                      <w:marRight w:val="0"/>
                      <w:marTop w:val="0"/>
                      <w:marBottom w:val="0"/>
                      <w:divBdr>
                        <w:top w:val="none" w:sz="0" w:space="0" w:color="auto"/>
                        <w:left w:val="none" w:sz="0" w:space="0" w:color="auto"/>
                        <w:bottom w:val="none" w:sz="0" w:space="0" w:color="auto"/>
                        <w:right w:val="none" w:sz="0" w:space="0" w:color="auto"/>
                      </w:divBdr>
                    </w:div>
                    <w:div w:id="18901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744679">
      <w:bodyDiv w:val="1"/>
      <w:marLeft w:val="0"/>
      <w:marRight w:val="0"/>
      <w:marTop w:val="150"/>
      <w:marBottom w:val="0"/>
      <w:divBdr>
        <w:top w:val="none" w:sz="0" w:space="0" w:color="auto"/>
        <w:left w:val="none" w:sz="0" w:space="0" w:color="auto"/>
        <w:bottom w:val="none" w:sz="0" w:space="0" w:color="auto"/>
        <w:right w:val="none" w:sz="0" w:space="0" w:color="auto"/>
      </w:divBdr>
      <w:divsChild>
        <w:div w:id="1615095365">
          <w:marLeft w:val="0"/>
          <w:marRight w:val="0"/>
          <w:marTop w:val="0"/>
          <w:marBottom w:val="0"/>
          <w:divBdr>
            <w:top w:val="none" w:sz="0" w:space="0" w:color="auto"/>
            <w:left w:val="none" w:sz="0" w:space="0" w:color="auto"/>
            <w:bottom w:val="none" w:sz="0" w:space="0" w:color="auto"/>
            <w:right w:val="none" w:sz="0" w:space="0" w:color="auto"/>
          </w:divBdr>
          <w:divsChild>
            <w:div w:id="1658075996">
              <w:marLeft w:val="0"/>
              <w:marRight w:val="0"/>
              <w:marTop w:val="0"/>
              <w:marBottom w:val="0"/>
              <w:divBdr>
                <w:top w:val="none" w:sz="0" w:space="0" w:color="auto"/>
                <w:left w:val="none" w:sz="0" w:space="0" w:color="auto"/>
                <w:bottom w:val="none" w:sz="0" w:space="0" w:color="auto"/>
                <w:right w:val="none" w:sz="0" w:space="0" w:color="auto"/>
              </w:divBdr>
              <w:divsChild>
                <w:div w:id="1450509245">
                  <w:marLeft w:val="0"/>
                  <w:marRight w:val="0"/>
                  <w:marTop w:val="0"/>
                  <w:marBottom w:val="0"/>
                  <w:divBdr>
                    <w:top w:val="none" w:sz="0" w:space="0" w:color="auto"/>
                    <w:left w:val="none" w:sz="0" w:space="0" w:color="auto"/>
                    <w:bottom w:val="none" w:sz="0" w:space="0" w:color="auto"/>
                    <w:right w:val="none" w:sz="0" w:space="0" w:color="auto"/>
                  </w:divBdr>
                  <w:divsChild>
                    <w:div w:id="1931618940">
                      <w:marLeft w:val="0"/>
                      <w:marRight w:val="0"/>
                      <w:marTop w:val="0"/>
                      <w:marBottom w:val="0"/>
                      <w:divBdr>
                        <w:top w:val="none" w:sz="0" w:space="0" w:color="auto"/>
                        <w:left w:val="none" w:sz="0" w:space="0" w:color="auto"/>
                        <w:bottom w:val="none" w:sz="0" w:space="0" w:color="auto"/>
                        <w:right w:val="none" w:sz="0" w:space="0" w:color="auto"/>
                      </w:divBdr>
                    </w:div>
                    <w:div w:id="1852597946">
                      <w:marLeft w:val="0"/>
                      <w:marRight w:val="0"/>
                      <w:marTop w:val="0"/>
                      <w:marBottom w:val="0"/>
                      <w:divBdr>
                        <w:top w:val="none" w:sz="0" w:space="0" w:color="auto"/>
                        <w:left w:val="none" w:sz="0" w:space="0" w:color="auto"/>
                        <w:bottom w:val="none" w:sz="0" w:space="0" w:color="auto"/>
                        <w:right w:val="none" w:sz="0" w:space="0" w:color="auto"/>
                      </w:divBdr>
                    </w:div>
                    <w:div w:id="173540764">
                      <w:marLeft w:val="0"/>
                      <w:marRight w:val="0"/>
                      <w:marTop w:val="0"/>
                      <w:marBottom w:val="0"/>
                      <w:divBdr>
                        <w:top w:val="none" w:sz="0" w:space="0" w:color="auto"/>
                        <w:left w:val="none" w:sz="0" w:space="0" w:color="auto"/>
                        <w:bottom w:val="none" w:sz="0" w:space="0" w:color="auto"/>
                        <w:right w:val="none" w:sz="0" w:space="0" w:color="auto"/>
                      </w:divBdr>
                    </w:div>
                    <w:div w:id="1185899509">
                      <w:marLeft w:val="0"/>
                      <w:marRight w:val="0"/>
                      <w:marTop w:val="0"/>
                      <w:marBottom w:val="0"/>
                      <w:divBdr>
                        <w:top w:val="none" w:sz="0" w:space="0" w:color="auto"/>
                        <w:left w:val="none" w:sz="0" w:space="0" w:color="auto"/>
                        <w:bottom w:val="none" w:sz="0" w:space="0" w:color="auto"/>
                        <w:right w:val="none" w:sz="0" w:space="0" w:color="auto"/>
                      </w:divBdr>
                    </w:div>
                    <w:div w:id="1709526539">
                      <w:marLeft w:val="0"/>
                      <w:marRight w:val="0"/>
                      <w:marTop w:val="0"/>
                      <w:marBottom w:val="0"/>
                      <w:divBdr>
                        <w:top w:val="none" w:sz="0" w:space="0" w:color="auto"/>
                        <w:left w:val="none" w:sz="0" w:space="0" w:color="auto"/>
                        <w:bottom w:val="none" w:sz="0" w:space="0" w:color="auto"/>
                        <w:right w:val="none" w:sz="0" w:space="0" w:color="auto"/>
                      </w:divBdr>
                    </w:div>
                    <w:div w:id="640113670">
                      <w:marLeft w:val="0"/>
                      <w:marRight w:val="0"/>
                      <w:marTop w:val="0"/>
                      <w:marBottom w:val="0"/>
                      <w:divBdr>
                        <w:top w:val="none" w:sz="0" w:space="0" w:color="auto"/>
                        <w:left w:val="none" w:sz="0" w:space="0" w:color="auto"/>
                        <w:bottom w:val="none" w:sz="0" w:space="0" w:color="auto"/>
                        <w:right w:val="none" w:sz="0" w:space="0" w:color="auto"/>
                      </w:divBdr>
                    </w:div>
                    <w:div w:id="1660696734">
                      <w:marLeft w:val="0"/>
                      <w:marRight w:val="0"/>
                      <w:marTop w:val="0"/>
                      <w:marBottom w:val="0"/>
                      <w:divBdr>
                        <w:top w:val="none" w:sz="0" w:space="0" w:color="auto"/>
                        <w:left w:val="none" w:sz="0" w:space="0" w:color="auto"/>
                        <w:bottom w:val="none" w:sz="0" w:space="0" w:color="auto"/>
                        <w:right w:val="none" w:sz="0" w:space="0" w:color="auto"/>
                      </w:divBdr>
                    </w:div>
                    <w:div w:id="234433896">
                      <w:marLeft w:val="0"/>
                      <w:marRight w:val="0"/>
                      <w:marTop w:val="0"/>
                      <w:marBottom w:val="0"/>
                      <w:divBdr>
                        <w:top w:val="none" w:sz="0" w:space="0" w:color="auto"/>
                        <w:left w:val="none" w:sz="0" w:space="0" w:color="auto"/>
                        <w:bottom w:val="none" w:sz="0" w:space="0" w:color="auto"/>
                        <w:right w:val="none" w:sz="0" w:space="0" w:color="auto"/>
                      </w:divBdr>
                    </w:div>
                    <w:div w:id="1939368285">
                      <w:marLeft w:val="0"/>
                      <w:marRight w:val="0"/>
                      <w:marTop w:val="0"/>
                      <w:marBottom w:val="0"/>
                      <w:divBdr>
                        <w:top w:val="none" w:sz="0" w:space="0" w:color="auto"/>
                        <w:left w:val="none" w:sz="0" w:space="0" w:color="auto"/>
                        <w:bottom w:val="none" w:sz="0" w:space="0" w:color="auto"/>
                        <w:right w:val="none" w:sz="0" w:space="0" w:color="auto"/>
                      </w:divBdr>
                    </w:div>
                    <w:div w:id="1330593605">
                      <w:marLeft w:val="0"/>
                      <w:marRight w:val="0"/>
                      <w:marTop w:val="0"/>
                      <w:marBottom w:val="0"/>
                      <w:divBdr>
                        <w:top w:val="none" w:sz="0" w:space="0" w:color="auto"/>
                        <w:left w:val="none" w:sz="0" w:space="0" w:color="auto"/>
                        <w:bottom w:val="none" w:sz="0" w:space="0" w:color="auto"/>
                        <w:right w:val="none" w:sz="0" w:space="0" w:color="auto"/>
                      </w:divBdr>
                    </w:div>
                    <w:div w:id="1154831573">
                      <w:marLeft w:val="0"/>
                      <w:marRight w:val="0"/>
                      <w:marTop w:val="0"/>
                      <w:marBottom w:val="0"/>
                      <w:divBdr>
                        <w:top w:val="none" w:sz="0" w:space="0" w:color="auto"/>
                        <w:left w:val="none" w:sz="0" w:space="0" w:color="auto"/>
                        <w:bottom w:val="none" w:sz="0" w:space="0" w:color="auto"/>
                        <w:right w:val="none" w:sz="0" w:space="0" w:color="auto"/>
                      </w:divBdr>
                    </w:div>
                    <w:div w:id="399835977">
                      <w:marLeft w:val="0"/>
                      <w:marRight w:val="0"/>
                      <w:marTop w:val="0"/>
                      <w:marBottom w:val="0"/>
                      <w:divBdr>
                        <w:top w:val="none" w:sz="0" w:space="0" w:color="auto"/>
                        <w:left w:val="none" w:sz="0" w:space="0" w:color="auto"/>
                        <w:bottom w:val="none" w:sz="0" w:space="0" w:color="auto"/>
                        <w:right w:val="none" w:sz="0" w:space="0" w:color="auto"/>
                      </w:divBdr>
                    </w:div>
                    <w:div w:id="65033072">
                      <w:marLeft w:val="0"/>
                      <w:marRight w:val="0"/>
                      <w:marTop w:val="0"/>
                      <w:marBottom w:val="0"/>
                      <w:divBdr>
                        <w:top w:val="none" w:sz="0" w:space="0" w:color="auto"/>
                        <w:left w:val="none" w:sz="0" w:space="0" w:color="auto"/>
                        <w:bottom w:val="none" w:sz="0" w:space="0" w:color="auto"/>
                        <w:right w:val="none" w:sz="0" w:space="0" w:color="auto"/>
                      </w:divBdr>
                    </w:div>
                    <w:div w:id="510754049">
                      <w:marLeft w:val="0"/>
                      <w:marRight w:val="0"/>
                      <w:marTop w:val="0"/>
                      <w:marBottom w:val="0"/>
                      <w:divBdr>
                        <w:top w:val="none" w:sz="0" w:space="0" w:color="auto"/>
                        <w:left w:val="none" w:sz="0" w:space="0" w:color="auto"/>
                        <w:bottom w:val="none" w:sz="0" w:space="0" w:color="auto"/>
                        <w:right w:val="none" w:sz="0" w:space="0" w:color="auto"/>
                      </w:divBdr>
                    </w:div>
                    <w:div w:id="1276251029">
                      <w:marLeft w:val="0"/>
                      <w:marRight w:val="0"/>
                      <w:marTop w:val="0"/>
                      <w:marBottom w:val="0"/>
                      <w:divBdr>
                        <w:top w:val="none" w:sz="0" w:space="0" w:color="auto"/>
                        <w:left w:val="none" w:sz="0" w:space="0" w:color="auto"/>
                        <w:bottom w:val="none" w:sz="0" w:space="0" w:color="auto"/>
                        <w:right w:val="none" w:sz="0" w:space="0" w:color="auto"/>
                      </w:divBdr>
                    </w:div>
                    <w:div w:id="1387022308">
                      <w:marLeft w:val="0"/>
                      <w:marRight w:val="0"/>
                      <w:marTop w:val="0"/>
                      <w:marBottom w:val="0"/>
                      <w:divBdr>
                        <w:top w:val="none" w:sz="0" w:space="0" w:color="auto"/>
                        <w:left w:val="none" w:sz="0" w:space="0" w:color="auto"/>
                        <w:bottom w:val="none" w:sz="0" w:space="0" w:color="auto"/>
                        <w:right w:val="none" w:sz="0" w:space="0" w:color="auto"/>
                      </w:divBdr>
                    </w:div>
                    <w:div w:id="2324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57590">
      <w:bodyDiv w:val="1"/>
      <w:marLeft w:val="0"/>
      <w:marRight w:val="0"/>
      <w:marTop w:val="100"/>
      <w:marBottom w:val="100"/>
      <w:divBdr>
        <w:top w:val="none" w:sz="0" w:space="0" w:color="auto"/>
        <w:left w:val="none" w:sz="0" w:space="0" w:color="auto"/>
        <w:bottom w:val="none" w:sz="0" w:space="0" w:color="auto"/>
        <w:right w:val="none" w:sz="0" w:space="0" w:color="auto"/>
      </w:divBdr>
      <w:divsChild>
        <w:div w:id="1803035127">
          <w:marLeft w:val="0"/>
          <w:marRight w:val="0"/>
          <w:marTop w:val="0"/>
          <w:marBottom w:val="0"/>
          <w:divBdr>
            <w:top w:val="none" w:sz="0" w:space="0" w:color="auto"/>
            <w:left w:val="none" w:sz="0" w:space="0" w:color="auto"/>
            <w:bottom w:val="none" w:sz="0" w:space="0" w:color="auto"/>
            <w:right w:val="none" w:sz="0" w:space="0" w:color="auto"/>
          </w:divBdr>
          <w:divsChild>
            <w:div w:id="320159100">
              <w:marLeft w:val="0"/>
              <w:marRight w:val="0"/>
              <w:marTop w:val="0"/>
              <w:marBottom w:val="0"/>
              <w:divBdr>
                <w:top w:val="none" w:sz="0" w:space="0" w:color="auto"/>
                <w:left w:val="none" w:sz="0" w:space="0" w:color="auto"/>
                <w:bottom w:val="none" w:sz="0" w:space="0" w:color="auto"/>
                <w:right w:val="none" w:sz="0" w:space="0" w:color="auto"/>
              </w:divBdr>
              <w:divsChild>
                <w:div w:id="1483620520">
                  <w:marLeft w:val="0"/>
                  <w:marRight w:val="0"/>
                  <w:marTop w:val="0"/>
                  <w:marBottom w:val="0"/>
                  <w:divBdr>
                    <w:top w:val="none" w:sz="0" w:space="0" w:color="auto"/>
                    <w:left w:val="none" w:sz="0" w:space="0" w:color="auto"/>
                    <w:bottom w:val="none" w:sz="0" w:space="0" w:color="auto"/>
                    <w:right w:val="none" w:sz="0" w:space="0" w:color="auto"/>
                  </w:divBdr>
                  <w:divsChild>
                    <w:div w:id="1844465735">
                      <w:marLeft w:val="0"/>
                      <w:marRight w:val="0"/>
                      <w:marTop w:val="0"/>
                      <w:marBottom w:val="0"/>
                      <w:divBdr>
                        <w:top w:val="single" w:sz="6" w:space="11" w:color="DDDDDD"/>
                        <w:left w:val="none" w:sz="0" w:space="0" w:color="auto"/>
                        <w:bottom w:val="none" w:sz="0" w:space="0" w:color="auto"/>
                        <w:right w:val="none" w:sz="0" w:space="0" w:color="auto"/>
                      </w:divBdr>
                      <w:divsChild>
                        <w:div w:id="519584548">
                          <w:marLeft w:val="0"/>
                          <w:marRight w:val="0"/>
                          <w:marTop w:val="0"/>
                          <w:marBottom w:val="0"/>
                          <w:divBdr>
                            <w:top w:val="none" w:sz="0" w:space="0" w:color="auto"/>
                            <w:left w:val="none" w:sz="0" w:space="0" w:color="auto"/>
                            <w:bottom w:val="none" w:sz="0" w:space="0" w:color="auto"/>
                            <w:right w:val="none" w:sz="0" w:space="0" w:color="auto"/>
                          </w:divBdr>
                          <w:divsChild>
                            <w:div w:id="1209295980">
                              <w:marLeft w:val="0"/>
                              <w:marRight w:val="0"/>
                              <w:marTop w:val="0"/>
                              <w:marBottom w:val="0"/>
                              <w:divBdr>
                                <w:top w:val="none" w:sz="0" w:space="0" w:color="auto"/>
                                <w:left w:val="none" w:sz="0" w:space="0" w:color="auto"/>
                                <w:bottom w:val="none" w:sz="0" w:space="0" w:color="auto"/>
                                <w:right w:val="none" w:sz="0" w:space="0" w:color="auto"/>
                              </w:divBdr>
                              <w:divsChild>
                                <w:div w:id="641036544">
                                  <w:marLeft w:val="0"/>
                                  <w:marRight w:val="0"/>
                                  <w:marTop w:val="0"/>
                                  <w:marBottom w:val="0"/>
                                  <w:divBdr>
                                    <w:top w:val="none" w:sz="0" w:space="0" w:color="auto"/>
                                    <w:left w:val="none" w:sz="0" w:space="0" w:color="auto"/>
                                    <w:bottom w:val="none" w:sz="0" w:space="0" w:color="auto"/>
                                    <w:right w:val="none" w:sz="0" w:space="0" w:color="auto"/>
                                  </w:divBdr>
                                  <w:divsChild>
                                    <w:div w:id="12853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888882">
      <w:bodyDiv w:val="1"/>
      <w:marLeft w:val="0"/>
      <w:marRight w:val="0"/>
      <w:marTop w:val="0"/>
      <w:marBottom w:val="0"/>
      <w:divBdr>
        <w:top w:val="none" w:sz="0" w:space="0" w:color="auto"/>
        <w:left w:val="none" w:sz="0" w:space="0" w:color="auto"/>
        <w:bottom w:val="none" w:sz="0" w:space="0" w:color="auto"/>
        <w:right w:val="none" w:sz="0" w:space="0" w:color="auto"/>
      </w:divBdr>
    </w:div>
    <w:div w:id="1216239104">
      <w:bodyDiv w:val="1"/>
      <w:marLeft w:val="0"/>
      <w:marRight w:val="0"/>
      <w:marTop w:val="0"/>
      <w:marBottom w:val="0"/>
      <w:divBdr>
        <w:top w:val="none" w:sz="0" w:space="0" w:color="auto"/>
        <w:left w:val="none" w:sz="0" w:space="0" w:color="auto"/>
        <w:bottom w:val="none" w:sz="0" w:space="0" w:color="auto"/>
        <w:right w:val="none" w:sz="0" w:space="0" w:color="auto"/>
      </w:divBdr>
      <w:divsChild>
        <w:div w:id="1660617613">
          <w:marLeft w:val="0"/>
          <w:marRight w:val="0"/>
          <w:marTop w:val="0"/>
          <w:marBottom w:val="0"/>
          <w:divBdr>
            <w:top w:val="none" w:sz="0" w:space="0" w:color="auto"/>
            <w:left w:val="none" w:sz="0" w:space="0" w:color="auto"/>
            <w:bottom w:val="none" w:sz="0" w:space="0" w:color="auto"/>
            <w:right w:val="none" w:sz="0" w:space="0" w:color="auto"/>
          </w:divBdr>
          <w:divsChild>
            <w:div w:id="299960169">
              <w:marLeft w:val="0"/>
              <w:marRight w:val="0"/>
              <w:marTop w:val="300"/>
              <w:marBottom w:val="300"/>
              <w:divBdr>
                <w:top w:val="single" w:sz="6" w:space="15" w:color="E6E6E6"/>
                <w:left w:val="none" w:sz="0" w:space="0" w:color="auto"/>
                <w:bottom w:val="none" w:sz="0" w:space="0" w:color="auto"/>
                <w:right w:val="none" w:sz="0" w:space="0" w:color="auto"/>
              </w:divBdr>
              <w:divsChild>
                <w:div w:id="675303713">
                  <w:marLeft w:val="0"/>
                  <w:marRight w:val="0"/>
                  <w:marTop w:val="0"/>
                  <w:marBottom w:val="0"/>
                  <w:divBdr>
                    <w:top w:val="none" w:sz="0" w:space="0" w:color="auto"/>
                    <w:left w:val="none" w:sz="0" w:space="0" w:color="auto"/>
                    <w:bottom w:val="none" w:sz="0" w:space="0" w:color="auto"/>
                    <w:right w:val="none" w:sz="0" w:space="0" w:color="auto"/>
                  </w:divBdr>
                  <w:divsChild>
                    <w:div w:id="1648364592">
                      <w:marLeft w:val="0"/>
                      <w:marRight w:val="2"/>
                      <w:marTop w:val="0"/>
                      <w:marBottom w:val="0"/>
                      <w:divBdr>
                        <w:top w:val="none" w:sz="0" w:space="0" w:color="auto"/>
                        <w:left w:val="none" w:sz="0" w:space="0" w:color="auto"/>
                        <w:bottom w:val="none" w:sz="0" w:space="0" w:color="auto"/>
                        <w:right w:val="none" w:sz="0" w:space="0" w:color="auto"/>
                      </w:divBdr>
                      <w:divsChild>
                        <w:div w:id="1598638775">
                          <w:marLeft w:val="0"/>
                          <w:marRight w:val="0"/>
                          <w:marTop w:val="0"/>
                          <w:marBottom w:val="300"/>
                          <w:divBdr>
                            <w:top w:val="none" w:sz="0" w:space="0" w:color="auto"/>
                            <w:left w:val="none" w:sz="0" w:space="0" w:color="auto"/>
                            <w:bottom w:val="none" w:sz="0" w:space="0" w:color="auto"/>
                            <w:right w:val="none" w:sz="0" w:space="0" w:color="auto"/>
                          </w:divBdr>
                          <w:divsChild>
                            <w:div w:id="2049137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6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vvocato@studiotributariovillani.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2DE2-1BAC-418E-A484-0688B2F9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2381</Words>
  <Characters>13574</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User</cp:lastModifiedBy>
  <cp:revision>2</cp:revision>
  <cp:lastPrinted>2016-03-25T15:56:00Z</cp:lastPrinted>
  <dcterms:created xsi:type="dcterms:W3CDTF">2016-04-07T12:36:00Z</dcterms:created>
  <dcterms:modified xsi:type="dcterms:W3CDTF">2016-04-07T12:36:00Z</dcterms:modified>
</cp:coreProperties>
</file>