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2D" w:rsidRDefault="002E4F2D" w:rsidP="002C41B8">
      <w:pPr>
        <w:pStyle w:val="Style5"/>
        <w:kinsoku w:val="0"/>
        <w:autoSpaceDE/>
        <w:autoSpaceDN/>
        <w:spacing w:before="0" w:line="360" w:lineRule="auto"/>
        <w:ind w:right="504" w:firstLine="0"/>
        <w:jc w:val="center"/>
        <w:rPr>
          <w:rStyle w:val="CharacterStyle3"/>
          <w:b/>
          <w:spacing w:val="2"/>
          <w:sz w:val="32"/>
          <w:szCs w:val="32"/>
        </w:rPr>
      </w:pPr>
      <w:bookmarkStart w:id="0" w:name="_GoBack"/>
      <w:bookmarkEnd w:id="0"/>
      <w:r>
        <w:rPr>
          <w:rStyle w:val="CharacterStyle3"/>
          <w:b/>
          <w:spacing w:val="2"/>
          <w:sz w:val="32"/>
          <w:szCs w:val="32"/>
        </w:rPr>
        <w:t>PROCESSO TRIBUTARIO</w:t>
      </w:r>
    </w:p>
    <w:p w:rsidR="002C41B8" w:rsidRDefault="002C41B8" w:rsidP="002C41B8">
      <w:pPr>
        <w:pStyle w:val="Style5"/>
        <w:kinsoku w:val="0"/>
        <w:autoSpaceDE/>
        <w:autoSpaceDN/>
        <w:spacing w:before="0" w:line="360" w:lineRule="auto"/>
        <w:ind w:right="504" w:firstLine="0"/>
        <w:jc w:val="center"/>
        <w:rPr>
          <w:rStyle w:val="CharacterStyle3"/>
          <w:b/>
          <w:spacing w:val="2"/>
          <w:sz w:val="32"/>
          <w:szCs w:val="32"/>
        </w:rPr>
      </w:pPr>
      <w:r w:rsidRPr="002C41B8">
        <w:rPr>
          <w:rStyle w:val="CharacterStyle3"/>
          <w:b/>
          <w:spacing w:val="2"/>
          <w:sz w:val="32"/>
          <w:szCs w:val="32"/>
        </w:rPr>
        <w:t>I POTERI ISTRUTTORI DEL GIUDICE TRIBUTARIO</w:t>
      </w:r>
    </w:p>
    <w:p w:rsidR="00801B5F" w:rsidRPr="00801B5F" w:rsidRDefault="00801B5F" w:rsidP="00801B5F">
      <w:pPr>
        <w:pStyle w:val="Style5"/>
        <w:kinsoku w:val="0"/>
        <w:autoSpaceDE/>
        <w:autoSpaceDN/>
        <w:spacing w:before="0" w:line="360" w:lineRule="auto"/>
        <w:ind w:right="504" w:firstLine="0"/>
        <w:rPr>
          <w:rStyle w:val="CharacterStyle3"/>
          <w:b/>
          <w:spacing w:val="2"/>
        </w:rPr>
      </w:pPr>
      <w:r w:rsidRPr="00801B5F">
        <w:rPr>
          <w:rStyle w:val="CharacterStyle3"/>
          <w:b/>
          <w:spacing w:val="2"/>
        </w:rPr>
        <w:t>Sui poteri istruttori del giudice tributario, ed in particolare sui suoi limiti, la Corte di Cassazione – Sez. Tributaria - nel corso degli anni ha stabilito importanti principi con le seguenti sentenze:</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673/2007;</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23580/2009;</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14960/2010;</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26392/2010;</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26741/2013;</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14244/2015;</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955/2016;</w:t>
      </w:r>
    </w:p>
    <w:p w:rsidR="00801B5F" w:rsidRPr="00801B5F" w:rsidRDefault="00801B5F" w:rsidP="00801B5F">
      <w:pPr>
        <w:pStyle w:val="Style5"/>
        <w:numPr>
          <w:ilvl w:val="0"/>
          <w:numId w:val="1"/>
        </w:numPr>
        <w:kinsoku w:val="0"/>
        <w:autoSpaceDE/>
        <w:autoSpaceDN/>
        <w:spacing w:before="0" w:line="360" w:lineRule="auto"/>
        <w:ind w:right="504"/>
        <w:rPr>
          <w:rStyle w:val="CharacterStyle3"/>
          <w:b/>
          <w:spacing w:val="2"/>
        </w:rPr>
      </w:pPr>
      <w:r w:rsidRPr="00801B5F">
        <w:rPr>
          <w:rStyle w:val="CharacterStyle3"/>
          <w:b/>
          <w:spacing w:val="2"/>
        </w:rPr>
        <w:t>n. 12308/2016.</w:t>
      </w:r>
    </w:p>
    <w:p w:rsidR="00801B5F" w:rsidRDefault="00562047" w:rsidP="00562047">
      <w:pPr>
        <w:pStyle w:val="Style5"/>
        <w:kinsoku w:val="0"/>
        <w:autoSpaceDE/>
        <w:autoSpaceDN/>
        <w:spacing w:before="0" w:line="360" w:lineRule="auto"/>
        <w:ind w:right="504" w:firstLine="0"/>
        <w:rPr>
          <w:rStyle w:val="CharacterStyle3"/>
        </w:rPr>
      </w:pPr>
      <w:r>
        <w:rPr>
          <w:rStyle w:val="CharacterStyle3"/>
          <w:spacing w:val="2"/>
        </w:rPr>
        <w:t xml:space="preserve">L'art. 7 del d.lgs. 31 dicembre 1992 n. 546 attribuisce al giudice tributario il potere </w:t>
      </w:r>
      <w:r>
        <w:rPr>
          <w:rStyle w:val="CharacterStyle3"/>
          <w:spacing w:val="1"/>
        </w:rPr>
        <w:t xml:space="preserve">di disporre l'acquisizione d'ufficio di mezzi di prova non per sopperire alle carenze istruttorie delle </w:t>
      </w:r>
      <w:r>
        <w:rPr>
          <w:rStyle w:val="CharacterStyle3"/>
        </w:rPr>
        <w:t xml:space="preserve">parti, sovvertendo i rispettivi oneri probatori, ma soltanto in funzione integrativa degli elementi di giudizio, il cui esercizio è consentito ove sussista una situazione obiettiva di incertezza e laddove la </w:t>
      </w:r>
      <w:r>
        <w:rPr>
          <w:rStyle w:val="CharacterStyle3"/>
          <w:spacing w:val="2"/>
        </w:rPr>
        <w:t xml:space="preserve">parte non possa provvedere per essere i documenti nella disponibilità della controparte o di terzi </w:t>
      </w:r>
      <w:r>
        <w:rPr>
          <w:rStyle w:val="CharacterStyle3"/>
        </w:rPr>
        <w:t>(Cass. n. 955 del 2016).</w:t>
      </w:r>
      <w:r w:rsidR="009C5739">
        <w:rPr>
          <w:rStyle w:val="CharacterStyle3"/>
        </w:rPr>
        <w:t xml:space="preserve"> </w:t>
      </w:r>
    </w:p>
    <w:p w:rsidR="00801B5F" w:rsidRDefault="009C5739" w:rsidP="00562047">
      <w:pPr>
        <w:pStyle w:val="Style5"/>
        <w:kinsoku w:val="0"/>
        <w:autoSpaceDE/>
        <w:autoSpaceDN/>
        <w:spacing w:before="0" w:line="360" w:lineRule="auto"/>
        <w:ind w:right="504" w:firstLine="0"/>
        <w:rPr>
          <w:rStyle w:val="CharacterStyle3"/>
          <w:spacing w:val="3"/>
        </w:rPr>
      </w:pPr>
      <w:r>
        <w:rPr>
          <w:rStyle w:val="CharacterStyle3"/>
        </w:rPr>
        <w:t>Il</w:t>
      </w:r>
      <w:r w:rsidR="00562047">
        <w:rPr>
          <w:rStyle w:val="CharacterStyle3"/>
        </w:rPr>
        <w:t xml:space="preserve"> potere di disporre l'acquisizione d'ufficio di mezzi di prova dev'essere </w:t>
      </w:r>
      <w:r w:rsidR="00562047">
        <w:rPr>
          <w:rStyle w:val="CharacterStyle3"/>
          <w:spacing w:val="3"/>
        </w:rPr>
        <w:t xml:space="preserve">interpretato alla luce del principio di terzietà sancito dall'art. 111 Cost., il quale non consente al </w:t>
      </w:r>
      <w:r w:rsidR="00562047">
        <w:rPr>
          <w:rStyle w:val="CharacterStyle3"/>
          <w:spacing w:val="2"/>
        </w:rPr>
        <w:t xml:space="preserve">giudice di sopperire alle carenze istruttorie delle parti, sovvertendo i rispettivi oneri probatori, ma </w:t>
      </w:r>
      <w:r w:rsidR="00562047">
        <w:rPr>
          <w:rStyle w:val="CharacterStyle3"/>
        </w:rPr>
        <w:t xml:space="preserve">gli attribuisce solamente un potere istruttorio in funzione integrativa, e non integralmente sostitutiva, </w:t>
      </w:r>
      <w:r w:rsidR="00562047">
        <w:rPr>
          <w:rStyle w:val="CharacterStyle3"/>
          <w:spacing w:val="3"/>
        </w:rPr>
        <w:t xml:space="preserve">degli elementi di giudizio (Cass. Civ., Sez. 5, n. 673 del 15/01/2007). </w:t>
      </w:r>
    </w:p>
    <w:p w:rsidR="00562047" w:rsidRDefault="00562047" w:rsidP="00562047">
      <w:pPr>
        <w:pStyle w:val="Style5"/>
        <w:kinsoku w:val="0"/>
        <w:autoSpaceDE/>
        <w:autoSpaceDN/>
        <w:spacing w:before="0" w:line="360" w:lineRule="auto"/>
        <w:ind w:right="504" w:firstLine="0"/>
        <w:rPr>
          <w:rStyle w:val="CharacterStyle3"/>
        </w:rPr>
      </w:pPr>
      <w:r>
        <w:rPr>
          <w:rStyle w:val="CharacterStyle3"/>
          <w:spacing w:val="3"/>
        </w:rPr>
        <w:t xml:space="preserve">Tale potere, pertanto, può </w:t>
      </w:r>
      <w:r>
        <w:rPr>
          <w:rStyle w:val="CharacterStyle3"/>
          <w:spacing w:val="1"/>
        </w:rPr>
        <w:t xml:space="preserve">essere esercitato soltanto ove sussista un'obiettiva situazione di incertezza, al fine di integrare gli </w:t>
      </w:r>
      <w:r>
        <w:rPr>
          <w:rStyle w:val="CharacterStyle3"/>
          <w:spacing w:val="2"/>
        </w:rPr>
        <w:t xml:space="preserve">elementi di prova già forniti dalle parti e non anche nel caso in cui il materiale probatorio acquisito </w:t>
      </w:r>
      <w:r>
        <w:rPr>
          <w:rStyle w:val="CharacterStyle3"/>
        </w:rPr>
        <w:t>agli atti imponga una determinata soluzione della controversia.</w:t>
      </w:r>
    </w:p>
    <w:p w:rsidR="00801B5F" w:rsidRDefault="00562047" w:rsidP="00801B5F">
      <w:pPr>
        <w:pStyle w:val="Style5"/>
        <w:kinsoku w:val="0"/>
        <w:autoSpaceDE/>
        <w:autoSpaceDN/>
        <w:spacing w:before="0" w:line="360" w:lineRule="auto"/>
        <w:ind w:right="576" w:firstLine="0"/>
        <w:rPr>
          <w:rStyle w:val="CharacterStyle3"/>
          <w:spacing w:val="1"/>
        </w:rPr>
      </w:pPr>
      <w:r>
        <w:rPr>
          <w:rStyle w:val="CharacterStyle3"/>
          <w:spacing w:val="5"/>
        </w:rPr>
        <w:t xml:space="preserve">In tema di contenzioso tributario, comunque, il giudice tributario non è obbligato ad </w:t>
      </w:r>
      <w:r>
        <w:rPr>
          <w:rStyle w:val="CharacterStyle3"/>
          <w:spacing w:val="-1"/>
        </w:rPr>
        <w:t xml:space="preserve">esercitare "ex officio" </w:t>
      </w:r>
      <w:r w:rsidRPr="009F7D7B">
        <w:rPr>
          <w:rStyle w:val="CharacterStyle3"/>
          <w:bCs/>
          <w:spacing w:val="-1"/>
        </w:rPr>
        <w:t xml:space="preserve">i </w:t>
      </w:r>
      <w:r w:rsidRPr="009F7D7B">
        <w:rPr>
          <w:rStyle w:val="CharacterStyle3"/>
          <w:spacing w:val="-1"/>
        </w:rPr>
        <w:t>poteri</w:t>
      </w:r>
      <w:r>
        <w:rPr>
          <w:rStyle w:val="CharacterStyle3"/>
          <w:spacing w:val="-1"/>
        </w:rPr>
        <w:t xml:space="preserve"> istruttori di cui all'art. 7 del d.lgs. 31 dicembre 1992, n. 546, salvo che </w:t>
      </w:r>
      <w:r>
        <w:rPr>
          <w:rStyle w:val="CharacterStyle3"/>
          <w:spacing w:val="1"/>
        </w:rPr>
        <w:t xml:space="preserve">non sussista il presupposto dell'impossibilità di acquisire la prova altrimenti, come nel caso in cui una delle parti non possa conseguire documenti in possesso dell'altra (Cass. n. 14244 del 2015). </w:t>
      </w:r>
    </w:p>
    <w:p w:rsidR="00476703" w:rsidRPr="00476703" w:rsidRDefault="00476703" w:rsidP="00801B5F">
      <w:pPr>
        <w:pStyle w:val="Style5"/>
        <w:kinsoku w:val="0"/>
        <w:autoSpaceDE/>
        <w:autoSpaceDN/>
        <w:spacing w:before="0" w:line="360" w:lineRule="auto"/>
        <w:ind w:right="576" w:firstLine="0"/>
      </w:pPr>
      <w:r w:rsidRPr="00476703">
        <w:lastRenderedPageBreak/>
        <w:t xml:space="preserve">Discendono da tale premessa due corollari, con riferimento ai presupposti ed ai limiti di operatività dei poteri istruttori conferiti al giudice tributario dall'art. 7 </w:t>
      </w:r>
      <w:r w:rsidR="00801B5F">
        <w:t>citato</w:t>
      </w:r>
      <w:r w:rsidRPr="00476703">
        <w:t>.</w:t>
      </w:r>
    </w:p>
    <w:p w:rsidR="00222964" w:rsidRDefault="00476703" w:rsidP="00476703">
      <w:pPr>
        <w:spacing w:after="0" w:line="360" w:lineRule="auto"/>
        <w:ind w:right="567"/>
        <w:jc w:val="both"/>
        <w:rPr>
          <w:rFonts w:ascii="Times New Roman" w:hAnsi="Times New Roman" w:cs="Times New Roman"/>
          <w:sz w:val="24"/>
          <w:szCs w:val="24"/>
        </w:rPr>
      </w:pPr>
      <w:r w:rsidRPr="00476703">
        <w:rPr>
          <w:rFonts w:ascii="Times New Roman" w:hAnsi="Times New Roman" w:cs="Times New Roman"/>
          <w:sz w:val="24"/>
          <w:szCs w:val="24"/>
        </w:rPr>
        <w:t xml:space="preserve">Anzitutto, come questa </w:t>
      </w:r>
      <w:r w:rsidR="00B5063D">
        <w:rPr>
          <w:rFonts w:ascii="Times New Roman" w:hAnsi="Times New Roman" w:cs="Times New Roman"/>
          <w:sz w:val="24"/>
          <w:szCs w:val="24"/>
        </w:rPr>
        <w:t>la Corte di Cassazione</w:t>
      </w:r>
      <w:r w:rsidRPr="00476703">
        <w:rPr>
          <w:rFonts w:ascii="Times New Roman" w:hAnsi="Times New Roman" w:cs="Times New Roman"/>
          <w:sz w:val="24"/>
          <w:szCs w:val="24"/>
        </w:rPr>
        <w:t xml:space="preserve"> ha avuto modo di chiarire, l'art. 7 </w:t>
      </w:r>
      <w:r w:rsidR="00B5063D">
        <w:rPr>
          <w:rFonts w:ascii="Times New Roman" w:hAnsi="Times New Roman" w:cs="Times New Roman"/>
          <w:sz w:val="24"/>
          <w:szCs w:val="24"/>
        </w:rPr>
        <w:t>più volte citato</w:t>
      </w:r>
      <w:r w:rsidRPr="00476703">
        <w:rPr>
          <w:rFonts w:ascii="Times New Roman" w:hAnsi="Times New Roman" w:cs="Times New Roman"/>
          <w:sz w:val="24"/>
          <w:szCs w:val="24"/>
        </w:rPr>
        <w:t xml:space="preserve">, laddove attribuisce al giudice il potere di disporre l'acquisizione d'ufficio di mezzi di prova, e dunque anche nell'ora abrogato terzo comma (che attribuiva «alle commissioni tributarie facoltà di ordinare alle parti il deposito di documenti ritenuti necessari per la decisione della controversia»), dev'essere interpretato alla luce del principio di terzietà sancito dall'art. 111 Cost., il quale non consente al giudice di sopperire alle carenze istruttorie delle parti, sovvertendo i rispettivi oneri probatori, ma gli attribuisce solamente un potere istruttorio in funzione integrativa, e non integralmente sostitutiva, degli elementi di giudizio (Cass. Civ., Sez. 5, n. 673 del 15/01/2007). </w:t>
      </w:r>
    </w:p>
    <w:p w:rsidR="00476703" w:rsidRPr="00476703" w:rsidRDefault="00476703" w:rsidP="00476703">
      <w:pPr>
        <w:spacing w:after="0" w:line="360" w:lineRule="auto"/>
        <w:ind w:right="567"/>
        <w:jc w:val="both"/>
        <w:rPr>
          <w:rFonts w:ascii="Times New Roman" w:hAnsi="Times New Roman" w:cs="Times New Roman"/>
          <w:sz w:val="24"/>
          <w:szCs w:val="24"/>
        </w:rPr>
      </w:pPr>
      <w:r w:rsidRPr="00476703">
        <w:rPr>
          <w:rFonts w:ascii="Times New Roman" w:hAnsi="Times New Roman" w:cs="Times New Roman"/>
          <w:sz w:val="24"/>
          <w:szCs w:val="24"/>
        </w:rPr>
        <w:t>Tale potere, pertanto, può essere esercitato soltanto ove sussista un'obiettiva situazione di incertezza, al fine di integrare gli elementi di prova già forniti dalle parti e non anche nel caso in cui il materiale probatorio acquisito agli atti imponga una determinata soluzione della controversia (cfr. Cass. Civ., Sez. 5, n. 24464 del 17/11/2006, Rv. 594275; n. 14960 del 22/06/2010, Rv. 613988) e sempre che la parte su cui ricade l'onere della prova non abbia essa stessa la possibilità di integrare la prova già fornita ma questa risulti piuttosto ostacolata dall'essere i documenti in possesso dell'altra parte o di terzi (v. Cass. Civ., Sez. 5, n. 7078 del 24/03/2010; Sez. 5, n. 10970 del 14/05/2007).</w:t>
      </w:r>
    </w:p>
    <w:p w:rsidR="00476703" w:rsidRPr="00476703" w:rsidRDefault="00476703" w:rsidP="00476703">
      <w:pPr>
        <w:spacing w:after="0" w:line="360" w:lineRule="auto"/>
        <w:ind w:right="567"/>
        <w:jc w:val="both"/>
        <w:rPr>
          <w:rFonts w:ascii="Times New Roman" w:hAnsi="Times New Roman" w:cs="Times New Roman"/>
          <w:sz w:val="24"/>
          <w:szCs w:val="24"/>
        </w:rPr>
      </w:pPr>
      <w:r w:rsidRPr="00476703">
        <w:rPr>
          <w:rFonts w:ascii="Times New Roman" w:hAnsi="Times New Roman" w:cs="Times New Roman"/>
          <w:sz w:val="24"/>
          <w:szCs w:val="24"/>
        </w:rPr>
        <w:t>In secondo luogo i poteri in questione non sono arbitrari ma discrezionali ed il loro esercizio, così come il loro mancato esercizio, deve essere adeguatamente motivato (v. Cass. Civ., Sez. 5, n. 673 del 2007, cit.)</w:t>
      </w:r>
    </w:p>
    <w:p w:rsidR="00476703" w:rsidRPr="00476703" w:rsidRDefault="00222964" w:rsidP="00476703">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In ogni caso</w:t>
      </w:r>
      <w:r w:rsidR="00476703" w:rsidRPr="00476703">
        <w:rPr>
          <w:rFonts w:ascii="Times New Roman" w:hAnsi="Times New Roman" w:cs="Times New Roman"/>
          <w:sz w:val="24"/>
          <w:szCs w:val="24"/>
        </w:rPr>
        <w:t>, non può revocarsi in dubbio che a fronte di un avviso di rettifica da parte dell'amministrazione che richiamava espressamente elementi di indagine ricavati dagli accertamenti operati dalla Guardia di Finanza ed a fronte delle contestazioni mosse dal contribuente circa la legittimità della verifica operata dalla Guardia di Finanza e l'attendibilità dei relativi esiti, l'onere di dimostrare la legittimità della pretesa fiscale ricadeva in capo all'amministrazione finanziaria e non poteva prescindere dalla produzione del p.v.c..</w:t>
      </w:r>
    </w:p>
    <w:p w:rsidR="00476703" w:rsidRPr="00476703" w:rsidRDefault="00476703" w:rsidP="00476703">
      <w:pPr>
        <w:spacing w:after="0" w:line="360" w:lineRule="auto"/>
        <w:ind w:right="567"/>
        <w:jc w:val="both"/>
        <w:rPr>
          <w:rFonts w:ascii="Times New Roman" w:hAnsi="Times New Roman" w:cs="Times New Roman"/>
          <w:sz w:val="24"/>
          <w:szCs w:val="24"/>
        </w:rPr>
      </w:pPr>
      <w:r w:rsidRPr="00476703">
        <w:rPr>
          <w:rFonts w:ascii="Times New Roman" w:hAnsi="Times New Roman" w:cs="Times New Roman"/>
          <w:sz w:val="24"/>
          <w:szCs w:val="24"/>
        </w:rPr>
        <w:t xml:space="preserve">Ciò posto non si conforma a una corretta interpretazione dell'art. 7 </w:t>
      </w:r>
      <w:r w:rsidR="00880DA7">
        <w:rPr>
          <w:rFonts w:ascii="Times New Roman" w:hAnsi="Times New Roman" w:cs="Times New Roman"/>
          <w:sz w:val="24"/>
          <w:szCs w:val="24"/>
        </w:rPr>
        <w:t>più volte citato</w:t>
      </w:r>
      <w:r w:rsidRPr="00476703">
        <w:rPr>
          <w:rFonts w:ascii="Times New Roman" w:hAnsi="Times New Roman" w:cs="Times New Roman"/>
          <w:sz w:val="24"/>
          <w:szCs w:val="24"/>
        </w:rPr>
        <w:t xml:space="preserve">, quale compendiata nei principi sopra enunciati, circa i poteri istruttori attribuiti alle commissioni tributarie, l'affermazione contenuta </w:t>
      </w:r>
      <w:r w:rsidR="00CB12C9">
        <w:rPr>
          <w:rFonts w:ascii="Times New Roman" w:hAnsi="Times New Roman" w:cs="Times New Roman"/>
          <w:sz w:val="24"/>
          <w:szCs w:val="24"/>
        </w:rPr>
        <w:t>in varie sentenze di merito</w:t>
      </w:r>
      <w:r w:rsidRPr="00476703">
        <w:rPr>
          <w:rFonts w:ascii="Times New Roman" w:hAnsi="Times New Roman" w:cs="Times New Roman"/>
          <w:sz w:val="24"/>
          <w:szCs w:val="24"/>
        </w:rPr>
        <w:t xml:space="preserve"> secondo cui sarebbe sempre consentito ad esse «ordinare alla parte la presentazione di documenti che presentino incisiva rilevanza ai finì della decisione» e costituirebbe per converso dovere del giudice in tale situazione l'esercizio di tale potere.</w:t>
      </w:r>
    </w:p>
    <w:p w:rsidR="00476703" w:rsidRDefault="00476703" w:rsidP="00476703">
      <w:pPr>
        <w:spacing w:after="0" w:line="360" w:lineRule="auto"/>
        <w:ind w:right="567"/>
        <w:jc w:val="both"/>
        <w:rPr>
          <w:rFonts w:ascii="Times New Roman" w:hAnsi="Times New Roman" w:cs="Times New Roman"/>
          <w:sz w:val="24"/>
          <w:szCs w:val="24"/>
        </w:rPr>
      </w:pPr>
      <w:r w:rsidRPr="00476703">
        <w:rPr>
          <w:rFonts w:ascii="Times New Roman" w:hAnsi="Times New Roman" w:cs="Times New Roman"/>
          <w:sz w:val="24"/>
          <w:szCs w:val="24"/>
        </w:rPr>
        <w:lastRenderedPageBreak/>
        <w:t xml:space="preserve">Alla luce delle considerazioni sopra svolte, una tale incondizionata declinazione dei poteri istruttori del giudice tributario non può essere condivisa e tanto più la stessa deve ritenersi erronea nel caso di specie, nel quale la mancata attivazione di tali poteri da parte del primo giudice risultava anche giustificata dal fatto che, come pacifico in atti, lo stesso aveva espressamente invitato l'amministrazione alla produzione del p.v.c., a tal </w:t>
      </w:r>
      <w:r>
        <w:rPr>
          <w:rFonts w:ascii="Times New Roman" w:hAnsi="Times New Roman" w:cs="Times New Roman"/>
          <w:sz w:val="24"/>
          <w:szCs w:val="24"/>
        </w:rPr>
        <w:t>fine</w:t>
      </w:r>
      <w:r w:rsidRPr="00476703">
        <w:rPr>
          <w:rFonts w:ascii="Times New Roman" w:hAnsi="Times New Roman" w:cs="Times New Roman"/>
          <w:sz w:val="24"/>
          <w:szCs w:val="24"/>
        </w:rPr>
        <w:t xml:space="preserve"> anche accordando un rinvio della trattazione, rimasto però infruttuoso, essendo anche alla successiva udienza la parte</w:t>
      </w:r>
      <w:r>
        <w:rPr>
          <w:rFonts w:ascii="Times New Roman" w:hAnsi="Times New Roman" w:cs="Times New Roman"/>
          <w:sz w:val="24"/>
          <w:szCs w:val="24"/>
        </w:rPr>
        <w:t xml:space="preserve"> rimasta inerte senza addurre </w:t>
      </w:r>
      <w:r w:rsidR="00D419FA">
        <w:rPr>
          <w:rFonts w:ascii="Times New Roman" w:hAnsi="Times New Roman" w:cs="Times New Roman"/>
          <w:sz w:val="24"/>
          <w:szCs w:val="24"/>
        </w:rPr>
        <w:t>a quanto co</w:t>
      </w:r>
      <w:r w:rsidR="009956B6">
        <w:rPr>
          <w:rFonts w:ascii="Times New Roman" w:hAnsi="Times New Roman" w:cs="Times New Roman"/>
          <w:sz w:val="24"/>
          <w:szCs w:val="24"/>
        </w:rPr>
        <w:t>sta</w:t>
      </w:r>
      <w:r w:rsidRPr="00476703">
        <w:rPr>
          <w:rFonts w:ascii="Times New Roman" w:hAnsi="Times New Roman" w:cs="Times New Roman"/>
          <w:sz w:val="24"/>
          <w:szCs w:val="24"/>
        </w:rPr>
        <w:t xml:space="preserve"> alcuna idonea giustificazione.</w:t>
      </w:r>
    </w:p>
    <w:p w:rsidR="00CB12C9" w:rsidRDefault="00CB12C9" w:rsidP="00476703">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Occorre</w:t>
      </w:r>
      <w:r w:rsidR="00476703" w:rsidRPr="00476703">
        <w:rPr>
          <w:rFonts w:ascii="Times New Roman" w:hAnsi="Times New Roman" w:cs="Times New Roman"/>
          <w:sz w:val="24"/>
          <w:szCs w:val="24"/>
        </w:rPr>
        <w:t xml:space="preserve"> ribadire il principio espresso </w:t>
      </w:r>
      <w:r>
        <w:rPr>
          <w:rFonts w:ascii="Times New Roman" w:hAnsi="Times New Roman" w:cs="Times New Roman"/>
          <w:sz w:val="24"/>
          <w:szCs w:val="24"/>
        </w:rPr>
        <w:t>dalla Corte di Cassazione</w:t>
      </w:r>
      <w:r w:rsidR="00476703" w:rsidRPr="00476703">
        <w:rPr>
          <w:rFonts w:ascii="Times New Roman" w:hAnsi="Times New Roman" w:cs="Times New Roman"/>
          <w:sz w:val="24"/>
          <w:szCs w:val="24"/>
        </w:rPr>
        <w:t xml:space="preserve"> (</w:t>
      </w:r>
      <w:r w:rsidR="0068790A">
        <w:rPr>
          <w:rFonts w:ascii="Times New Roman" w:hAnsi="Times New Roman" w:cs="Times New Roman"/>
          <w:sz w:val="24"/>
          <w:szCs w:val="24"/>
        </w:rPr>
        <w:t>s</w:t>
      </w:r>
      <w:r w:rsidR="00476703" w:rsidRPr="00476703">
        <w:rPr>
          <w:rFonts w:ascii="Times New Roman" w:hAnsi="Times New Roman" w:cs="Times New Roman"/>
          <w:sz w:val="24"/>
          <w:szCs w:val="24"/>
        </w:rPr>
        <w:t>entenza n.</w:t>
      </w:r>
      <w:r w:rsidR="0068790A">
        <w:rPr>
          <w:rFonts w:ascii="Times New Roman" w:hAnsi="Times New Roman" w:cs="Times New Roman"/>
          <w:sz w:val="24"/>
          <w:szCs w:val="24"/>
        </w:rPr>
        <w:t xml:space="preserve"> </w:t>
      </w:r>
      <w:r w:rsidR="00476703" w:rsidRPr="00476703">
        <w:rPr>
          <w:rFonts w:ascii="Times New Roman" w:hAnsi="Times New Roman" w:cs="Times New Roman"/>
          <w:sz w:val="24"/>
          <w:szCs w:val="24"/>
        </w:rPr>
        <w:t>2787/2006; n.</w:t>
      </w:r>
      <w:r w:rsidR="0068790A">
        <w:rPr>
          <w:rFonts w:ascii="Times New Roman" w:hAnsi="Times New Roman" w:cs="Times New Roman"/>
          <w:sz w:val="24"/>
          <w:szCs w:val="24"/>
        </w:rPr>
        <w:t xml:space="preserve"> </w:t>
      </w:r>
      <w:r w:rsidR="00476703" w:rsidRPr="00476703">
        <w:rPr>
          <w:rFonts w:ascii="Times New Roman" w:hAnsi="Times New Roman" w:cs="Times New Roman"/>
          <w:sz w:val="24"/>
          <w:szCs w:val="24"/>
        </w:rPr>
        <w:t>23580/2009) secondo cui "In tema di contenzioso tributario, l'art. 58 del d.lgs. 31 dicembre 1992, n.546 fa salva la facoltà delle parti di produrre nuovi documenti anche al di fuori degli stretti limiti consenti</w:t>
      </w:r>
      <w:r w:rsidR="00476703">
        <w:rPr>
          <w:rFonts w:ascii="Times New Roman" w:hAnsi="Times New Roman" w:cs="Times New Roman"/>
          <w:sz w:val="24"/>
          <w:szCs w:val="24"/>
        </w:rPr>
        <w:t>ti dall'art.345 cod</w:t>
      </w:r>
      <w:r>
        <w:rPr>
          <w:rFonts w:ascii="Times New Roman" w:hAnsi="Times New Roman" w:cs="Times New Roman"/>
          <w:sz w:val="24"/>
          <w:szCs w:val="24"/>
        </w:rPr>
        <w:t>ice procedura</w:t>
      </w:r>
      <w:r w:rsidR="00476703">
        <w:rPr>
          <w:rFonts w:ascii="Times New Roman" w:hAnsi="Times New Roman" w:cs="Times New Roman"/>
          <w:sz w:val="24"/>
          <w:szCs w:val="24"/>
        </w:rPr>
        <w:t xml:space="preserve"> civ</w:t>
      </w:r>
      <w:r>
        <w:rPr>
          <w:rFonts w:ascii="Times New Roman" w:hAnsi="Times New Roman" w:cs="Times New Roman"/>
          <w:sz w:val="24"/>
          <w:szCs w:val="24"/>
        </w:rPr>
        <w:t>ile</w:t>
      </w:r>
      <w:r w:rsidR="0068790A">
        <w:rPr>
          <w:rFonts w:ascii="Times New Roman" w:hAnsi="Times New Roman" w:cs="Times New Roman"/>
          <w:sz w:val="24"/>
          <w:szCs w:val="24"/>
        </w:rPr>
        <w:t>,</w:t>
      </w:r>
      <w:r w:rsidR="00476703">
        <w:rPr>
          <w:rFonts w:ascii="Times New Roman" w:hAnsi="Times New Roman" w:cs="Times New Roman"/>
          <w:sz w:val="24"/>
          <w:szCs w:val="24"/>
        </w:rPr>
        <w:t xml:space="preserve"> </w:t>
      </w:r>
      <w:r w:rsidR="00476703" w:rsidRPr="00476703">
        <w:rPr>
          <w:rFonts w:ascii="Times New Roman" w:hAnsi="Times New Roman" w:cs="Times New Roman"/>
          <w:sz w:val="24"/>
          <w:szCs w:val="24"/>
        </w:rPr>
        <w:t>ma tale attività processuale va esercitata stante il richiamo operato dall'art.61 del citato d.lgs. alle norme relat</w:t>
      </w:r>
      <w:r w:rsidR="00476703">
        <w:rPr>
          <w:rFonts w:ascii="Times New Roman" w:hAnsi="Times New Roman" w:cs="Times New Roman"/>
          <w:sz w:val="24"/>
          <w:szCs w:val="24"/>
        </w:rPr>
        <w:t>ive al giudizio di primo grado</w:t>
      </w:r>
      <w:r w:rsidR="00476703" w:rsidRPr="00476703">
        <w:rPr>
          <w:rFonts w:ascii="Times New Roman" w:hAnsi="Times New Roman" w:cs="Times New Roman"/>
          <w:sz w:val="24"/>
          <w:szCs w:val="24"/>
        </w:rPr>
        <w:t xml:space="preserve"> entro il termine previsto dall'art.32, comma primo, dello stesso decreto, ossia fino a venti giorni liberi prima dell'udienza con l'osservanza delle formalità di cui all'art.24, comma primo. </w:t>
      </w:r>
    </w:p>
    <w:p w:rsidR="00476703" w:rsidRPr="00CB12C9" w:rsidRDefault="00CB12C9" w:rsidP="00476703">
      <w:pPr>
        <w:spacing w:after="0" w:line="360" w:lineRule="auto"/>
        <w:ind w:right="567"/>
        <w:jc w:val="both"/>
        <w:rPr>
          <w:rFonts w:ascii="Times New Roman" w:hAnsi="Times New Roman" w:cs="Times New Roman"/>
          <w:b/>
          <w:sz w:val="24"/>
          <w:szCs w:val="24"/>
        </w:rPr>
      </w:pPr>
      <w:r w:rsidRPr="00CB12C9">
        <w:rPr>
          <w:rFonts w:ascii="Times New Roman" w:hAnsi="Times New Roman" w:cs="Times New Roman"/>
          <w:b/>
          <w:sz w:val="24"/>
          <w:szCs w:val="24"/>
        </w:rPr>
        <w:t>T</w:t>
      </w:r>
      <w:r w:rsidR="00476703" w:rsidRPr="00CB12C9">
        <w:rPr>
          <w:rFonts w:ascii="Times New Roman" w:hAnsi="Times New Roman" w:cs="Times New Roman"/>
          <w:b/>
          <w:sz w:val="24"/>
          <w:szCs w:val="24"/>
        </w:rPr>
        <w:t>ale termine, anche in assenza di espressa previsione legislativa, deve ritenersi di natura perentoria, e quindi sanzionato con la decadenza, per lo scopo che persegue e la funzione che adempie (rispetto del diritto di difesa e del principio del contraddittorio):con la conseguenza che resta inibito al giudice di appello fondare la propria decisione sul documento tardivamente prodotto anche nel caso di rinvio meramente "interlocutorio" dell'udienza su richiesta del difensore, o di mancata opposizione della controparte alla produzione tardiva, essendo la sanatoria a seguito di acquiescenza consentita con riferimento alla forma degli atti processuali e non anche relativamente all'osservanza dei termini perentori (art. 153 cod. proc. civ.)".</w:t>
      </w:r>
    </w:p>
    <w:p w:rsidR="00476703" w:rsidRPr="00D77BD9" w:rsidRDefault="00476703" w:rsidP="00476703">
      <w:pPr>
        <w:spacing w:after="0" w:line="360" w:lineRule="auto"/>
        <w:ind w:right="567"/>
        <w:jc w:val="both"/>
        <w:rPr>
          <w:rFonts w:ascii="Times New Roman" w:hAnsi="Times New Roman" w:cs="Times New Roman"/>
          <w:b/>
          <w:sz w:val="24"/>
          <w:szCs w:val="24"/>
        </w:rPr>
      </w:pPr>
      <w:r w:rsidRPr="00D77BD9">
        <w:rPr>
          <w:rFonts w:ascii="Times New Roman" w:hAnsi="Times New Roman" w:cs="Times New Roman"/>
          <w:b/>
          <w:sz w:val="24"/>
          <w:szCs w:val="24"/>
        </w:rPr>
        <w:t>Nel processo tributario, che è dotato di una sua propria specificità (cfr. l'art. 1 d.lgs. 546/1992), il principio dispositivo, mentre opera incondizionatamente in tema di onere di allegazione, incontra un qualche temperamento in materia di prova.</w:t>
      </w:r>
    </w:p>
    <w:p w:rsidR="00554B42" w:rsidRPr="00554B42" w:rsidRDefault="00476703" w:rsidP="00476703">
      <w:pPr>
        <w:spacing w:after="0" w:line="360" w:lineRule="auto"/>
        <w:ind w:right="567"/>
        <w:jc w:val="both"/>
        <w:rPr>
          <w:rFonts w:ascii="Times New Roman" w:hAnsi="Times New Roman" w:cs="Times New Roman"/>
          <w:b/>
          <w:sz w:val="24"/>
          <w:szCs w:val="24"/>
        </w:rPr>
      </w:pPr>
      <w:r w:rsidRPr="00554B42">
        <w:rPr>
          <w:rFonts w:ascii="Times New Roman" w:hAnsi="Times New Roman" w:cs="Times New Roman"/>
          <w:b/>
          <w:sz w:val="24"/>
          <w:szCs w:val="24"/>
        </w:rPr>
        <w:t xml:space="preserve">Al riguardo, in particolare, l'art. 7, </w:t>
      </w:r>
      <w:r w:rsidR="00554B42" w:rsidRPr="00554B42">
        <w:rPr>
          <w:rFonts w:ascii="Times New Roman" w:hAnsi="Times New Roman" w:cs="Times New Roman"/>
          <w:b/>
          <w:sz w:val="24"/>
          <w:szCs w:val="24"/>
        </w:rPr>
        <w:t>più volte citato,</w:t>
      </w:r>
      <w:r w:rsidRPr="00554B42">
        <w:rPr>
          <w:rFonts w:ascii="Times New Roman" w:hAnsi="Times New Roman" w:cs="Times New Roman"/>
          <w:b/>
          <w:sz w:val="24"/>
          <w:szCs w:val="24"/>
        </w:rPr>
        <w:t xml:space="preserve"> prevede che le commissioni tributarie "ai fini istruttori e </w:t>
      </w:r>
      <w:r w:rsidR="00A96C79" w:rsidRPr="00554B42">
        <w:rPr>
          <w:rFonts w:ascii="Times New Roman" w:hAnsi="Times New Roman" w:cs="Times New Roman"/>
          <w:b/>
          <w:sz w:val="24"/>
          <w:szCs w:val="24"/>
        </w:rPr>
        <w:t>nei</w:t>
      </w:r>
      <w:r w:rsidRPr="00554B42">
        <w:rPr>
          <w:rFonts w:ascii="Times New Roman" w:hAnsi="Times New Roman" w:cs="Times New Roman"/>
          <w:b/>
          <w:sz w:val="24"/>
          <w:szCs w:val="24"/>
        </w:rPr>
        <w:t xml:space="preserve"> limiti </w:t>
      </w:r>
      <w:r w:rsidR="00A96C79" w:rsidRPr="00554B42">
        <w:rPr>
          <w:rFonts w:ascii="Times New Roman" w:hAnsi="Times New Roman" w:cs="Times New Roman"/>
          <w:b/>
          <w:sz w:val="24"/>
          <w:szCs w:val="24"/>
        </w:rPr>
        <w:t>dei</w:t>
      </w:r>
      <w:r w:rsidRPr="00554B42">
        <w:rPr>
          <w:rFonts w:ascii="Times New Roman" w:hAnsi="Times New Roman" w:cs="Times New Roman"/>
          <w:b/>
          <w:sz w:val="24"/>
          <w:szCs w:val="24"/>
        </w:rPr>
        <w:t xml:space="preserve"> fatti dedotti dalle parti, esercitano tutte le facoltà di accesso, di richiesta di dati, di informazioni e chiarimenti conferite agli uffici tributari o all'ente locale da ciascuna legge d'imposta". </w:t>
      </w:r>
    </w:p>
    <w:p w:rsidR="00476703" w:rsidRPr="00554B42" w:rsidRDefault="00476703" w:rsidP="00476703">
      <w:pPr>
        <w:spacing w:after="0" w:line="360" w:lineRule="auto"/>
        <w:ind w:right="567"/>
        <w:jc w:val="both"/>
        <w:rPr>
          <w:rFonts w:ascii="Times New Roman" w:hAnsi="Times New Roman" w:cs="Times New Roman"/>
          <w:b/>
          <w:sz w:val="24"/>
          <w:szCs w:val="24"/>
        </w:rPr>
      </w:pPr>
      <w:r w:rsidRPr="00554B42">
        <w:rPr>
          <w:rFonts w:ascii="Times New Roman" w:hAnsi="Times New Roman" w:cs="Times New Roman"/>
          <w:b/>
          <w:sz w:val="24"/>
          <w:szCs w:val="24"/>
        </w:rPr>
        <w:t xml:space="preserve">Il </w:t>
      </w:r>
      <w:r w:rsidR="00A96C79" w:rsidRPr="00554B42">
        <w:rPr>
          <w:rFonts w:ascii="Times New Roman" w:hAnsi="Times New Roman" w:cs="Times New Roman"/>
          <w:b/>
          <w:sz w:val="24"/>
          <w:szCs w:val="24"/>
        </w:rPr>
        <w:t>comma</w:t>
      </w:r>
      <w:r w:rsidRPr="00554B42">
        <w:rPr>
          <w:rFonts w:ascii="Times New Roman" w:hAnsi="Times New Roman" w:cs="Times New Roman"/>
          <w:b/>
          <w:sz w:val="24"/>
          <w:szCs w:val="24"/>
        </w:rPr>
        <w:t xml:space="preserve"> 3 dello stesso articolo ha, inoltre, previsto (fino alla sua abrogazione, disposta, peraltro, solo, dal </w:t>
      </w:r>
      <w:r w:rsidR="00A96C79" w:rsidRPr="00554B42">
        <w:rPr>
          <w:rFonts w:ascii="Times New Roman" w:hAnsi="Times New Roman" w:cs="Times New Roman"/>
          <w:b/>
          <w:sz w:val="24"/>
          <w:szCs w:val="24"/>
        </w:rPr>
        <w:t>02/12/2015</w:t>
      </w:r>
      <w:r w:rsidRPr="00554B42">
        <w:rPr>
          <w:rFonts w:ascii="Times New Roman" w:hAnsi="Times New Roman" w:cs="Times New Roman"/>
          <w:b/>
          <w:sz w:val="24"/>
          <w:szCs w:val="24"/>
        </w:rPr>
        <w:t>, con l'art. 3</w:t>
      </w:r>
      <w:r w:rsidR="00A96C79" w:rsidRPr="00554B42">
        <w:rPr>
          <w:rFonts w:ascii="Times New Roman" w:hAnsi="Times New Roman" w:cs="Times New Roman"/>
          <w:b/>
          <w:sz w:val="24"/>
          <w:szCs w:val="24"/>
        </w:rPr>
        <w:t>/</w:t>
      </w:r>
      <w:r w:rsidRPr="00554B42">
        <w:rPr>
          <w:rFonts w:ascii="Times New Roman" w:hAnsi="Times New Roman" w:cs="Times New Roman"/>
          <w:b/>
          <w:sz w:val="24"/>
          <w:szCs w:val="24"/>
        </w:rPr>
        <w:t xml:space="preserve">bis comma 5, inserito nel </w:t>
      </w:r>
      <w:r w:rsidR="00A96C79" w:rsidRPr="00554B42">
        <w:rPr>
          <w:rFonts w:ascii="Times New Roman" w:hAnsi="Times New Roman" w:cs="Times New Roman"/>
          <w:b/>
          <w:sz w:val="24"/>
          <w:szCs w:val="24"/>
        </w:rPr>
        <w:t>D.L.</w:t>
      </w:r>
      <w:r w:rsidRPr="00554B42">
        <w:rPr>
          <w:rFonts w:ascii="Times New Roman" w:hAnsi="Times New Roman" w:cs="Times New Roman"/>
          <w:b/>
          <w:sz w:val="24"/>
          <w:szCs w:val="24"/>
        </w:rPr>
        <w:t xml:space="preserve"> 203/2005 dalla legge di conversione 248/2005) "è sempre data alle commissioni tributarie facoltà di </w:t>
      </w:r>
      <w:r w:rsidRPr="00554B42">
        <w:rPr>
          <w:rFonts w:ascii="Times New Roman" w:hAnsi="Times New Roman" w:cs="Times New Roman"/>
          <w:b/>
          <w:sz w:val="24"/>
          <w:szCs w:val="24"/>
        </w:rPr>
        <w:lastRenderedPageBreak/>
        <w:t>ordinare alle parti il deposito di documenti ritenuti necessari per la decisione della controversia".</w:t>
      </w:r>
    </w:p>
    <w:p w:rsidR="00A96C79" w:rsidRDefault="00A96C79" w:rsidP="00476703">
      <w:pPr>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La portata della disposizione</w:t>
      </w:r>
      <w:r w:rsidR="00476703" w:rsidRPr="00476703">
        <w:rPr>
          <w:rFonts w:ascii="Times New Roman" w:hAnsi="Times New Roman" w:cs="Times New Roman"/>
          <w:sz w:val="24"/>
          <w:szCs w:val="24"/>
        </w:rPr>
        <w:t xml:space="preserve"> assai ampia se ci si attiene al solo dato letterale è stat</w:t>
      </w:r>
      <w:r>
        <w:rPr>
          <w:rFonts w:ascii="Times New Roman" w:hAnsi="Times New Roman" w:cs="Times New Roman"/>
          <w:sz w:val="24"/>
          <w:szCs w:val="24"/>
        </w:rPr>
        <w:t>a</w:t>
      </w:r>
      <w:r w:rsidR="00476703" w:rsidRPr="00476703">
        <w:rPr>
          <w:rFonts w:ascii="Times New Roman" w:hAnsi="Times New Roman" w:cs="Times New Roman"/>
          <w:sz w:val="24"/>
          <w:szCs w:val="24"/>
        </w:rPr>
        <w:t xml:space="preserve"> definita dalla giurisprudenza </w:t>
      </w:r>
      <w:r w:rsidR="00A36426">
        <w:rPr>
          <w:rFonts w:ascii="Times New Roman" w:hAnsi="Times New Roman" w:cs="Times New Roman"/>
          <w:sz w:val="24"/>
          <w:szCs w:val="24"/>
        </w:rPr>
        <w:t>costante della Corte di Cassazione</w:t>
      </w:r>
      <w:r w:rsidR="00476703" w:rsidRPr="00476703">
        <w:rPr>
          <w:rFonts w:ascii="Times New Roman" w:hAnsi="Times New Roman" w:cs="Times New Roman"/>
          <w:sz w:val="24"/>
          <w:szCs w:val="24"/>
        </w:rPr>
        <w:t>, che ha</w:t>
      </w:r>
      <w:r>
        <w:rPr>
          <w:rFonts w:ascii="Times New Roman" w:hAnsi="Times New Roman" w:cs="Times New Roman"/>
          <w:sz w:val="24"/>
          <w:szCs w:val="24"/>
        </w:rPr>
        <w:t xml:space="preserve"> </w:t>
      </w:r>
      <w:r w:rsidR="00476703" w:rsidRPr="00476703">
        <w:rPr>
          <w:rFonts w:ascii="Times New Roman" w:hAnsi="Times New Roman" w:cs="Times New Roman"/>
          <w:sz w:val="24"/>
          <w:szCs w:val="24"/>
        </w:rPr>
        <w:t>reiteratamente puntualizzato</w:t>
      </w:r>
      <w:r>
        <w:rPr>
          <w:rFonts w:ascii="Times New Roman" w:hAnsi="Times New Roman" w:cs="Times New Roman"/>
          <w:sz w:val="24"/>
          <w:szCs w:val="24"/>
        </w:rPr>
        <w:t>:</w:t>
      </w:r>
    </w:p>
    <w:p w:rsidR="00A96C79" w:rsidRPr="00A36426" w:rsidRDefault="00A96C79" w:rsidP="00476703">
      <w:pPr>
        <w:spacing w:after="0" w:line="360" w:lineRule="auto"/>
        <w:ind w:right="567"/>
        <w:jc w:val="both"/>
        <w:rPr>
          <w:rFonts w:ascii="Times New Roman" w:hAnsi="Times New Roman" w:cs="Times New Roman"/>
          <w:b/>
          <w:sz w:val="24"/>
          <w:szCs w:val="24"/>
        </w:rPr>
      </w:pPr>
      <w:r w:rsidRPr="00A36426">
        <w:rPr>
          <w:rFonts w:ascii="Times New Roman" w:hAnsi="Times New Roman" w:cs="Times New Roman"/>
          <w:b/>
          <w:sz w:val="24"/>
          <w:szCs w:val="24"/>
        </w:rPr>
        <w:t>A</w:t>
      </w:r>
      <w:r w:rsidR="00476703" w:rsidRPr="00A36426">
        <w:rPr>
          <w:rFonts w:ascii="Times New Roman" w:hAnsi="Times New Roman" w:cs="Times New Roman"/>
          <w:b/>
          <w:sz w:val="24"/>
          <w:szCs w:val="24"/>
        </w:rPr>
        <w:t>) che l'esercizio dei poteri di acquisizione d'ufficio, attribuiti dall'art. 7, commi 1 e 3, d.lgs. 546/1992 alle commissioni tributarie, non può sopperire al mancato assolvimento dell'onere della prova, che grava sulle parti in base al criterio di cui all'art. 2697 c.c. (v. Cass. 905/06, 7129/03), potendo, al più, intervenire in funzione di mera integrazione, ma mai di integrale sostituzione (v. Cass. 15214/00)</w:t>
      </w:r>
      <w:r w:rsidRPr="00A36426">
        <w:rPr>
          <w:rFonts w:ascii="Times New Roman" w:hAnsi="Times New Roman" w:cs="Times New Roman"/>
          <w:b/>
          <w:sz w:val="24"/>
          <w:szCs w:val="24"/>
        </w:rPr>
        <w:t>;</w:t>
      </w:r>
    </w:p>
    <w:p w:rsidR="00476703" w:rsidRDefault="00A96C79" w:rsidP="00476703">
      <w:pPr>
        <w:spacing w:after="0" w:line="360" w:lineRule="auto"/>
        <w:ind w:right="567"/>
        <w:jc w:val="both"/>
        <w:rPr>
          <w:rFonts w:ascii="Times New Roman" w:hAnsi="Times New Roman" w:cs="Times New Roman"/>
          <w:b/>
          <w:sz w:val="24"/>
          <w:szCs w:val="24"/>
        </w:rPr>
      </w:pPr>
      <w:r w:rsidRPr="00A36426">
        <w:rPr>
          <w:rFonts w:ascii="Times New Roman" w:hAnsi="Times New Roman" w:cs="Times New Roman"/>
          <w:b/>
          <w:sz w:val="24"/>
          <w:szCs w:val="24"/>
        </w:rPr>
        <w:t>B</w:t>
      </w:r>
      <w:r w:rsidR="00476703" w:rsidRPr="00A36426">
        <w:rPr>
          <w:rFonts w:ascii="Times New Roman" w:hAnsi="Times New Roman" w:cs="Times New Roman"/>
          <w:b/>
          <w:sz w:val="24"/>
          <w:szCs w:val="24"/>
        </w:rPr>
        <w:t>) che il predetto esercizio costituisce facoltà discrezionale, ma non arbitraria, del giudice tributario, sicché in una situazione in cui il documento da acquisire appaia astrattamente presentare incisiva rilevanza ai fini della decisione, l'esercizio di tale potere istruttorio configura un dovere del giudice, il cui mancato assolvimento è illegittimo, se non motivato (v. Cass. 905/06, 7129/03).</w:t>
      </w:r>
    </w:p>
    <w:p w:rsidR="00A96C79" w:rsidRDefault="00154754" w:rsidP="00A96C79">
      <w:pPr>
        <w:spacing w:after="0" w:line="360" w:lineRule="auto"/>
        <w:ind w:right="567"/>
        <w:jc w:val="both"/>
        <w:rPr>
          <w:rFonts w:ascii="Times New Roman" w:hAnsi="Times New Roman" w:cs="Times New Roman"/>
          <w:b/>
          <w:sz w:val="24"/>
          <w:szCs w:val="24"/>
        </w:rPr>
      </w:pPr>
      <w:r w:rsidRPr="003A39E6">
        <w:rPr>
          <w:rFonts w:ascii="Times New Roman" w:hAnsi="Times New Roman" w:cs="Times New Roman"/>
          <w:b/>
          <w:sz w:val="24"/>
          <w:szCs w:val="24"/>
        </w:rPr>
        <w:t>In definitiva, i</w:t>
      </w:r>
      <w:r w:rsidR="00A96C79" w:rsidRPr="003A39E6">
        <w:rPr>
          <w:rFonts w:ascii="Times New Roman" w:hAnsi="Times New Roman" w:cs="Times New Roman"/>
          <w:b/>
          <w:sz w:val="24"/>
          <w:szCs w:val="24"/>
        </w:rPr>
        <w:t xml:space="preserve">l giudice tributario non è obbligato ad esercitare ex officio i poteri istruttori di cui all'art. 7 </w:t>
      </w:r>
      <w:r w:rsidRPr="003A39E6">
        <w:rPr>
          <w:rFonts w:ascii="Times New Roman" w:hAnsi="Times New Roman" w:cs="Times New Roman"/>
          <w:b/>
          <w:sz w:val="24"/>
          <w:szCs w:val="24"/>
        </w:rPr>
        <w:t>più volte citato</w:t>
      </w:r>
      <w:r w:rsidR="00A96C79" w:rsidRPr="003A39E6">
        <w:rPr>
          <w:rFonts w:ascii="Times New Roman" w:hAnsi="Times New Roman" w:cs="Times New Roman"/>
          <w:b/>
          <w:sz w:val="24"/>
          <w:szCs w:val="24"/>
        </w:rPr>
        <w:t>, salvo che non sussista il presupposto della impossibilità d</w:t>
      </w:r>
      <w:r w:rsidRPr="003A39E6">
        <w:rPr>
          <w:rFonts w:ascii="Times New Roman" w:hAnsi="Times New Roman" w:cs="Times New Roman"/>
          <w:b/>
          <w:sz w:val="24"/>
          <w:szCs w:val="24"/>
        </w:rPr>
        <w:t>i acquisire la prova altrimenti.</w:t>
      </w:r>
    </w:p>
    <w:p w:rsidR="003A39E6" w:rsidRPr="004A331F" w:rsidRDefault="003A39E6" w:rsidP="00A96C79">
      <w:pPr>
        <w:spacing w:after="0" w:line="360" w:lineRule="auto"/>
        <w:ind w:right="567"/>
        <w:jc w:val="both"/>
        <w:rPr>
          <w:rFonts w:ascii="Times New Roman" w:hAnsi="Times New Roman" w:cs="Times New Roman"/>
          <w:b/>
          <w:sz w:val="24"/>
          <w:szCs w:val="24"/>
        </w:rPr>
      </w:pPr>
      <w:r w:rsidRPr="004A331F">
        <w:rPr>
          <w:rFonts w:ascii="Times New Roman" w:hAnsi="Times New Roman" w:cs="Times New Roman"/>
          <w:b/>
          <w:sz w:val="24"/>
          <w:szCs w:val="24"/>
        </w:rPr>
        <w:t xml:space="preserve">In conclusione, anche alla luce di tutti i suesposti principi, è auspicabile </w:t>
      </w:r>
      <w:r w:rsidR="00076629" w:rsidRPr="004A331F">
        <w:rPr>
          <w:rFonts w:ascii="Times New Roman" w:hAnsi="Times New Roman" w:cs="Times New Roman"/>
          <w:b/>
          <w:sz w:val="24"/>
          <w:szCs w:val="24"/>
        </w:rPr>
        <w:t>che nella fase istruttoria del giudizio tributario sia ammessa anche la testimonianza, per mettere su un piano di effettiva e concreta parità processuale il contribuente ed il fisco, come più volte ho suggerito nei miei articoli.</w:t>
      </w:r>
    </w:p>
    <w:p w:rsidR="00076629" w:rsidRPr="000B0A33" w:rsidRDefault="00076629" w:rsidP="00A96C79">
      <w:pPr>
        <w:spacing w:after="0" w:line="360" w:lineRule="auto"/>
        <w:ind w:right="567"/>
        <w:jc w:val="both"/>
        <w:rPr>
          <w:rFonts w:ascii="Times New Roman" w:hAnsi="Times New Roman" w:cs="Times New Roman"/>
          <w:b/>
          <w:sz w:val="24"/>
          <w:szCs w:val="24"/>
        </w:rPr>
      </w:pPr>
      <w:r w:rsidRPr="000B0A33">
        <w:rPr>
          <w:rFonts w:ascii="Times New Roman" w:hAnsi="Times New Roman" w:cs="Times New Roman"/>
          <w:b/>
          <w:sz w:val="24"/>
          <w:szCs w:val="24"/>
        </w:rPr>
        <w:t>Lecce, 25 giugno 2016</w:t>
      </w:r>
    </w:p>
    <w:p w:rsidR="00076629" w:rsidRDefault="00076629" w:rsidP="00A96C79">
      <w:pPr>
        <w:spacing w:after="0" w:line="360" w:lineRule="auto"/>
        <w:ind w:right="567"/>
        <w:jc w:val="both"/>
        <w:rPr>
          <w:rFonts w:ascii="Times New Roman" w:hAnsi="Times New Roman" w:cs="Times New Roman"/>
          <w:sz w:val="24"/>
          <w:szCs w:val="24"/>
        </w:rPr>
      </w:pPr>
    </w:p>
    <w:p w:rsidR="00076629" w:rsidRPr="00076629" w:rsidRDefault="00076629" w:rsidP="00076629">
      <w:pPr>
        <w:spacing w:after="0" w:line="360" w:lineRule="auto"/>
        <w:ind w:right="567"/>
        <w:jc w:val="center"/>
        <w:rPr>
          <w:rFonts w:ascii="Times New Roman" w:hAnsi="Times New Roman" w:cs="Times New Roman"/>
          <w:b/>
          <w:bCs/>
          <w:sz w:val="24"/>
          <w:szCs w:val="24"/>
        </w:rPr>
      </w:pPr>
      <w:r w:rsidRPr="00076629">
        <w:rPr>
          <w:rFonts w:ascii="Times New Roman" w:hAnsi="Times New Roman" w:cs="Times New Roman"/>
          <w:b/>
          <w:bCs/>
          <w:sz w:val="24"/>
          <w:szCs w:val="24"/>
        </w:rPr>
        <w:t>AVV. MAURIZIO VILLANI</w:t>
      </w:r>
    </w:p>
    <w:p w:rsidR="00076629" w:rsidRPr="00076629" w:rsidRDefault="00076629" w:rsidP="00076629">
      <w:pPr>
        <w:spacing w:after="0" w:line="360" w:lineRule="auto"/>
        <w:ind w:right="567"/>
        <w:jc w:val="center"/>
        <w:rPr>
          <w:rFonts w:ascii="Times New Roman" w:hAnsi="Times New Roman" w:cs="Times New Roman"/>
          <w:b/>
          <w:bCs/>
          <w:sz w:val="24"/>
          <w:szCs w:val="24"/>
        </w:rPr>
      </w:pPr>
      <w:r w:rsidRPr="00076629">
        <w:rPr>
          <w:rFonts w:ascii="Times New Roman" w:hAnsi="Times New Roman" w:cs="Times New Roman"/>
          <w:b/>
          <w:bCs/>
          <w:sz w:val="24"/>
          <w:szCs w:val="24"/>
        </w:rPr>
        <w:t>Avvocato Tributarista in Lecce</w:t>
      </w:r>
    </w:p>
    <w:p w:rsidR="00076629" w:rsidRPr="00076629" w:rsidRDefault="00076629" w:rsidP="00076629">
      <w:pPr>
        <w:spacing w:after="0" w:line="360" w:lineRule="auto"/>
        <w:ind w:right="567"/>
        <w:jc w:val="center"/>
        <w:rPr>
          <w:rFonts w:ascii="Times New Roman" w:hAnsi="Times New Roman" w:cs="Times New Roman"/>
          <w:b/>
          <w:sz w:val="24"/>
          <w:szCs w:val="24"/>
        </w:rPr>
      </w:pPr>
      <w:r w:rsidRPr="00076629">
        <w:rPr>
          <w:rFonts w:ascii="Times New Roman" w:hAnsi="Times New Roman" w:cs="Times New Roman"/>
          <w:b/>
          <w:sz w:val="24"/>
          <w:szCs w:val="24"/>
        </w:rPr>
        <w:t>Patrocinante in Cassazione</w:t>
      </w:r>
    </w:p>
    <w:p w:rsidR="00076629" w:rsidRPr="00076629" w:rsidRDefault="00193BE5" w:rsidP="00076629">
      <w:pPr>
        <w:spacing w:after="0" w:line="360" w:lineRule="auto"/>
        <w:ind w:right="567"/>
        <w:jc w:val="center"/>
        <w:rPr>
          <w:rFonts w:ascii="Times New Roman" w:hAnsi="Times New Roman" w:cs="Times New Roman"/>
          <w:b/>
          <w:bCs/>
          <w:sz w:val="24"/>
          <w:szCs w:val="24"/>
        </w:rPr>
      </w:pPr>
      <w:hyperlink r:id="rId7" w:history="1">
        <w:r w:rsidR="00076629" w:rsidRPr="00076629">
          <w:rPr>
            <w:rStyle w:val="Collegamentoipertestuale"/>
            <w:rFonts w:ascii="Times New Roman" w:hAnsi="Times New Roman" w:cs="Times New Roman"/>
            <w:b/>
            <w:bCs/>
            <w:sz w:val="24"/>
            <w:szCs w:val="24"/>
          </w:rPr>
          <w:t>www.studiotributariovillani.it</w:t>
        </w:r>
      </w:hyperlink>
      <w:r w:rsidR="00076629" w:rsidRPr="00076629">
        <w:rPr>
          <w:rFonts w:ascii="Times New Roman" w:hAnsi="Times New Roman" w:cs="Times New Roman"/>
          <w:b/>
          <w:bCs/>
          <w:sz w:val="24"/>
          <w:szCs w:val="24"/>
        </w:rPr>
        <w:t xml:space="preserve"> - e-mail </w:t>
      </w:r>
      <w:hyperlink r:id="rId8" w:history="1">
        <w:r w:rsidR="00076629" w:rsidRPr="00076629">
          <w:rPr>
            <w:rStyle w:val="Collegamentoipertestuale"/>
            <w:rFonts w:ascii="Times New Roman" w:hAnsi="Times New Roman" w:cs="Times New Roman"/>
            <w:b/>
            <w:bCs/>
            <w:sz w:val="24"/>
            <w:szCs w:val="24"/>
          </w:rPr>
          <w:t>avvocato@studiotributariovillani.it</w:t>
        </w:r>
      </w:hyperlink>
    </w:p>
    <w:p w:rsidR="00076629" w:rsidRPr="003A39E6" w:rsidRDefault="00076629" w:rsidP="00076629">
      <w:pPr>
        <w:spacing w:after="0" w:line="360" w:lineRule="auto"/>
        <w:ind w:right="567"/>
        <w:jc w:val="center"/>
        <w:rPr>
          <w:rFonts w:ascii="Times New Roman" w:hAnsi="Times New Roman" w:cs="Times New Roman"/>
          <w:sz w:val="24"/>
          <w:szCs w:val="24"/>
        </w:rPr>
      </w:pPr>
    </w:p>
    <w:sectPr w:rsidR="00076629" w:rsidRPr="003A39E6" w:rsidSect="00476703">
      <w:footerReference w:type="default" r:id="rId9"/>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E5" w:rsidRDefault="00193BE5" w:rsidP="00A96C79">
      <w:pPr>
        <w:spacing w:after="0" w:line="240" w:lineRule="auto"/>
      </w:pPr>
      <w:r>
        <w:separator/>
      </w:r>
    </w:p>
  </w:endnote>
  <w:endnote w:type="continuationSeparator" w:id="0">
    <w:p w:rsidR="00193BE5" w:rsidRDefault="00193BE5" w:rsidP="00A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98503"/>
      <w:docPartObj>
        <w:docPartGallery w:val="Page Numbers (Bottom of Page)"/>
        <w:docPartUnique/>
      </w:docPartObj>
    </w:sdtPr>
    <w:sdtEndPr/>
    <w:sdtContent>
      <w:p w:rsidR="00A96C79" w:rsidRDefault="00A96C79">
        <w:pPr>
          <w:pStyle w:val="Pidipagina"/>
          <w:jc w:val="right"/>
        </w:pPr>
        <w:r>
          <w:fldChar w:fldCharType="begin"/>
        </w:r>
        <w:r>
          <w:instrText>PAGE   \* MERGEFORMAT</w:instrText>
        </w:r>
        <w:r>
          <w:fldChar w:fldCharType="separate"/>
        </w:r>
        <w:r w:rsidR="00E15CD4">
          <w:rPr>
            <w:noProof/>
          </w:rPr>
          <w:t>1</w:t>
        </w:r>
        <w:r>
          <w:fldChar w:fldCharType="end"/>
        </w:r>
      </w:p>
    </w:sdtContent>
  </w:sdt>
  <w:p w:rsidR="00A96C79" w:rsidRDefault="00A96C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E5" w:rsidRDefault="00193BE5" w:rsidP="00A96C79">
      <w:pPr>
        <w:spacing w:after="0" w:line="240" w:lineRule="auto"/>
      </w:pPr>
      <w:r>
        <w:separator/>
      </w:r>
    </w:p>
  </w:footnote>
  <w:footnote w:type="continuationSeparator" w:id="0">
    <w:p w:rsidR="00193BE5" w:rsidRDefault="00193BE5" w:rsidP="00A9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8731D"/>
    <w:multiLevelType w:val="hybridMultilevel"/>
    <w:tmpl w:val="907EABA2"/>
    <w:lvl w:ilvl="0" w:tplc="C0CE4DF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47"/>
    <w:rsid w:val="00076629"/>
    <w:rsid w:val="000B0A33"/>
    <w:rsid w:val="00132AE1"/>
    <w:rsid w:val="00154754"/>
    <w:rsid w:val="00193BE5"/>
    <w:rsid w:val="00194D51"/>
    <w:rsid w:val="002200A2"/>
    <w:rsid w:val="00222964"/>
    <w:rsid w:val="002C41B8"/>
    <w:rsid w:val="002E4F2D"/>
    <w:rsid w:val="003859E4"/>
    <w:rsid w:val="003A39E6"/>
    <w:rsid w:val="00476703"/>
    <w:rsid w:val="004A331F"/>
    <w:rsid w:val="00554B42"/>
    <w:rsid w:val="00562047"/>
    <w:rsid w:val="00565747"/>
    <w:rsid w:val="005D5819"/>
    <w:rsid w:val="0068790A"/>
    <w:rsid w:val="00691627"/>
    <w:rsid w:val="007C1C90"/>
    <w:rsid w:val="00801B5F"/>
    <w:rsid w:val="00880DA7"/>
    <w:rsid w:val="00987DA3"/>
    <w:rsid w:val="009956B6"/>
    <w:rsid w:val="009C5739"/>
    <w:rsid w:val="009F7D7B"/>
    <w:rsid w:val="00A36426"/>
    <w:rsid w:val="00A96C79"/>
    <w:rsid w:val="00B5063D"/>
    <w:rsid w:val="00CB12C9"/>
    <w:rsid w:val="00D419FA"/>
    <w:rsid w:val="00D77BD9"/>
    <w:rsid w:val="00E15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B41C-1F12-4B77-BB04-281F511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rsid w:val="00562047"/>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customStyle="1" w:styleId="Style5">
    <w:name w:val="Style 5"/>
    <w:basedOn w:val="Normale"/>
    <w:uiPriority w:val="99"/>
    <w:rsid w:val="00562047"/>
    <w:pPr>
      <w:widowControl w:val="0"/>
      <w:autoSpaceDE w:val="0"/>
      <w:autoSpaceDN w:val="0"/>
      <w:spacing w:before="108" w:after="0" w:line="396" w:lineRule="exact"/>
      <w:ind w:right="72" w:firstLine="720"/>
      <w:jc w:val="both"/>
    </w:pPr>
    <w:rPr>
      <w:rFonts w:ascii="Times New Roman" w:eastAsiaTheme="minorEastAsia" w:hAnsi="Times New Roman" w:cs="Times New Roman"/>
      <w:sz w:val="24"/>
      <w:szCs w:val="24"/>
      <w:lang w:eastAsia="it-IT"/>
    </w:rPr>
  </w:style>
  <w:style w:type="character" w:customStyle="1" w:styleId="CharacterStyle3">
    <w:name w:val="Character Style 3"/>
    <w:uiPriority w:val="99"/>
    <w:rsid w:val="00562047"/>
    <w:rPr>
      <w:sz w:val="24"/>
      <w:szCs w:val="24"/>
    </w:rPr>
  </w:style>
  <w:style w:type="character" w:customStyle="1" w:styleId="CharacterStyle2">
    <w:name w:val="Character Style 2"/>
    <w:uiPriority w:val="99"/>
    <w:rsid w:val="00562047"/>
    <w:rPr>
      <w:sz w:val="20"/>
      <w:szCs w:val="20"/>
    </w:rPr>
  </w:style>
  <w:style w:type="paragraph" w:styleId="Intestazione">
    <w:name w:val="header"/>
    <w:basedOn w:val="Normale"/>
    <w:link w:val="IntestazioneCarattere"/>
    <w:uiPriority w:val="99"/>
    <w:unhideWhenUsed/>
    <w:rsid w:val="00A96C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C79"/>
  </w:style>
  <w:style w:type="paragraph" w:styleId="Pidipagina">
    <w:name w:val="footer"/>
    <w:basedOn w:val="Normale"/>
    <w:link w:val="PidipaginaCarattere"/>
    <w:uiPriority w:val="99"/>
    <w:unhideWhenUsed/>
    <w:rsid w:val="00A96C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C79"/>
  </w:style>
  <w:style w:type="paragraph" w:styleId="Testofumetto">
    <w:name w:val="Balloon Text"/>
    <w:basedOn w:val="Normale"/>
    <w:link w:val="TestofumettoCarattere"/>
    <w:uiPriority w:val="99"/>
    <w:semiHidden/>
    <w:unhideWhenUsed/>
    <w:rsid w:val="00194D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4D51"/>
    <w:rPr>
      <w:rFonts w:ascii="Segoe UI" w:hAnsi="Segoe UI" w:cs="Segoe UI"/>
      <w:sz w:val="18"/>
      <w:szCs w:val="18"/>
    </w:rPr>
  </w:style>
  <w:style w:type="character" w:styleId="Collegamentoipertestuale">
    <w:name w:val="Hyperlink"/>
    <w:basedOn w:val="Carpredefinitoparagrafo"/>
    <w:uiPriority w:val="99"/>
    <w:unhideWhenUsed/>
    <w:rsid w:val="000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cp:lastPrinted>2016-06-25T08:02:00Z</cp:lastPrinted>
  <dcterms:created xsi:type="dcterms:W3CDTF">2016-06-27T08:23:00Z</dcterms:created>
  <dcterms:modified xsi:type="dcterms:W3CDTF">2016-06-27T08:23:00Z</dcterms:modified>
</cp:coreProperties>
</file>