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67" w:rsidRDefault="00AA4F2D" w:rsidP="00C46D0A">
      <w:pPr>
        <w:jc w:val="center"/>
        <w:rPr>
          <w:b/>
          <w:sz w:val="36"/>
          <w:szCs w:val="36"/>
        </w:rPr>
      </w:pPr>
      <w:bookmarkStart w:id="0" w:name="_GoBack"/>
      <w:bookmarkEnd w:id="0"/>
      <w:r>
        <w:rPr>
          <w:b/>
          <w:sz w:val="36"/>
          <w:szCs w:val="36"/>
        </w:rPr>
        <w:t>LA NOTIFICAZIONE DEL RICORSO PER CASSAZIONE</w:t>
      </w:r>
    </w:p>
    <w:p w:rsidR="00AA4F2D" w:rsidRDefault="00912351" w:rsidP="00C46D0A">
      <w:pPr>
        <w:jc w:val="center"/>
        <w:rPr>
          <w:b/>
          <w:sz w:val="36"/>
          <w:szCs w:val="36"/>
        </w:rPr>
      </w:pPr>
      <w:r>
        <w:rPr>
          <w:b/>
          <w:sz w:val="36"/>
          <w:szCs w:val="36"/>
        </w:rPr>
        <w:t xml:space="preserve">IPOTESI DI </w:t>
      </w:r>
      <w:r w:rsidR="00AA4F2D">
        <w:rPr>
          <w:b/>
          <w:sz w:val="36"/>
          <w:szCs w:val="36"/>
        </w:rPr>
        <w:t>NULLITA’ ED INESISTENZA</w:t>
      </w:r>
    </w:p>
    <w:p w:rsidR="009B4922" w:rsidRPr="009B4922" w:rsidRDefault="009B4922" w:rsidP="009B4922">
      <w:pPr>
        <w:spacing w:after="0" w:line="360" w:lineRule="auto"/>
        <w:jc w:val="both"/>
        <w:rPr>
          <w:b/>
          <w:sz w:val="24"/>
          <w:szCs w:val="24"/>
        </w:rPr>
      </w:pPr>
      <w:r>
        <w:rPr>
          <w:b/>
          <w:sz w:val="24"/>
          <w:szCs w:val="24"/>
        </w:rPr>
        <w:t xml:space="preserve">La Corte di Cassazione, a Sezioni Unite, con l’importante e recente sentenza n. 14916 del </w:t>
      </w:r>
      <w:r w:rsidR="0084307E">
        <w:rPr>
          <w:b/>
          <w:sz w:val="24"/>
          <w:szCs w:val="24"/>
        </w:rPr>
        <w:t>15</w:t>
      </w:r>
      <w:r>
        <w:rPr>
          <w:b/>
          <w:sz w:val="24"/>
          <w:szCs w:val="24"/>
        </w:rPr>
        <w:t xml:space="preserve"> </w:t>
      </w:r>
      <w:r w:rsidR="0084307E">
        <w:rPr>
          <w:b/>
          <w:sz w:val="24"/>
          <w:szCs w:val="24"/>
        </w:rPr>
        <w:t>dicembre</w:t>
      </w:r>
      <w:r>
        <w:rPr>
          <w:b/>
          <w:sz w:val="24"/>
          <w:szCs w:val="24"/>
        </w:rPr>
        <w:t xml:space="preserve"> 201</w:t>
      </w:r>
      <w:r w:rsidR="0084307E">
        <w:rPr>
          <w:b/>
          <w:sz w:val="24"/>
          <w:szCs w:val="24"/>
        </w:rPr>
        <w:t>5</w:t>
      </w:r>
      <w:r>
        <w:rPr>
          <w:b/>
          <w:sz w:val="24"/>
          <w:szCs w:val="24"/>
        </w:rPr>
        <w:t>,</w:t>
      </w:r>
      <w:r w:rsidR="0084307E">
        <w:rPr>
          <w:b/>
          <w:sz w:val="24"/>
          <w:szCs w:val="24"/>
        </w:rPr>
        <w:t xml:space="preserve"> depositata in cancelleria il 20 luglio 2016,</w:t>
      </w:r>
      <w:r>
        <w:rPr>
          <w:b/>
          <w:sz w:val="24"/>
          <w:szCs w:val="24"/>
        </w:rPr>
        <w:t xml:space="preserve"> ha stabilito i seguenti principi di diritto.</w:t>
      </w:r>
    </w:p>
    <w:p w:rsidR="00001DF3" w:rsidRPr="006B60CF" w:rsidRDefault="00C46D0A" w:rsidP="00C46D0A">
      <w:pPr>
        <w:spacing w:after="0" w:line="360" w:lineRule="auto"/>
        <w:jc w:val="both"/>
        <w:rPr>
          <w:b/>
          <w:sz w:val="24"/>
          <w:szCs w:val="24"/>
        </w:rPr>
      </w:pPr>
      <w:r w:rsidRPr="006B60CF">
        <w:rPr>
          <w:b/>
          <w:sz w:val="24"/>
          <w:szCs w:val="24"/>
        </w:rPr>
        <w:t>A)</w:t>
      </w:r>
      <w:r w:rsidRPr="006B60CF">
        <w:rPr>
          <w:b/>
          <w:sz w:val="24"/>
          <w:szCs w:val="24"/>
        </w:rPr>
        <w:tab/>
        <w:t>Notificazione del ricorso per cassazione eseguita presso il procuratore della controparte costituito in primo grado e contumacia della stessa nel giudizio di appello:</w:t>
      </w:r>
    </w:p>
    <w:p w:rsidR="00001DF3" w:rsidRDefault="00C46D0A" w:rsidP="00C46D0A">
      <w:pPr>
        <w:spacing w:after="0" w:line="360" w:lineRule="auto"/>
        <w:jc w:val="both"/>
        <w:rPr>
          <w:sz w:val="24"/>
          <w:szCs w:val="24"/>
        </w:rPr>
      </w:pPr>
      <w:r w:rsidRPr="00D66D46">
        <w:rPr>
          <w:b/>
          <w:sz w:val="24"/>
          <w:szCs w:val="24"/>
        </w:rPr>
        <w:t>a</w:t>
      </w:r>
      <w:r w:rsidR="00001DF3" w:rsidRPr="00D66D46">
        <w:rPr>
          <w:b/>
          <w:sz w:val="24"/>
          <w:szCs w:val="24"/>
        </w:rPr>
        <w:t>1</w:t>
      </w:r>
      <w:r w:rsidRPr="00D66D46">
        <w:rPr>
          <w:b/>
          <w:sz w:val="24"/>
          <w:szCs w:val="24"/>
        </w:rPr>
        <w:t>) un primo orientamento</w:t>
      </w:r>
      <w:r w:rsidRPr="00C46D0A">
        <w:rPr>
          <w:sz w:val="24"/>
          <w:szCs w:val="24"/>
        </w:rPr>
        <w:t xml:space="preserve">, muovendo dal presupposto secondo cui l'elezione di domicilio presso il procuratore spiega effetto limitatamente al grado del giudizio per il quale la procura è stata conferita, salvo espressa contraria previsione, ritiene che siffatta notificazione del ricorso è affetta da giuridica inesistenza, non da mera nullità, in quanto eseguita in luogo e presso persona non aventi più alcun riferimento con il destinatario, con conseguente inammissibilità del ricorso, senza alcuna possibilità di sanatoria mediante costituzione della parte intimata o rinnovazione ai sensi dell'art. 291 cod. proc. civ. (tra altre, Cass., sez. un., nn. 6248 del 1982 e 9539 del 1996, nonché Cass. nn. 1100 del 2001 e 5025 del 2002); </w:t>
      </w:r>
    </w:p>
    <w:p w:rsidR="00C46D0A" w:rsidRPr="00C46D0A" w:rsidRDefault="00C46D0A" w:rsidP="00C46D0A">
      <w:pPr>
        <w:spacing w:after="0" w:line="360" w:lineRule="auto"/>
        <w:jc w:val="both"/>
        <w:rPr>
          <w:sz w:val="24"/>
          <w:szCs w:val="24"/>
        </w:rPr>
      </w:pPr>
      <w:r w:rsidRPr="00D66D46">
        <w:rPr>
          <w:b/>
          <w:sz w:val="24"/>
          <w:szCs w:val="24"/>
        </w:rPr>
        <w:t>a2) altro indirizzo,</w:t>
      </w:r>
      <w:r w:rsidRPr="00C46D0A">
        <w:rPr>
          <w:sz w:val="24"/>
          <w:szCs w:val="24"/>
        </w:rPr>
        <w:t xml:space="preserve"> muovendo dal medesimo presupposto, perviene alla opposta conclusione secondo cui la notificazione, essendo eseguita in luogo diverso da quello prescritto dall'art. 330, primo comma, cod. proc. civ., ma non privo di un qualche collegamento con il destinatario della notifica, deve considerarsi nulla e non inesistente (e, quindi, sanabile mediante rinnovazione o costituzione della parte intimata), in quanto l'atto, pur se viziato, poiché eseguito al di fuori delle previsioni di legge, può essere riconosciuto come appartenente alla categoria delle notificazioni, anche se non è idoneo a produrre in modo definitivo gli effetti propri del tipo di atto in questione (tra altre, Cass., sez. un., n. 10817 del 2008 e Cass. nn. 6947 del 1995, 7818 e 16952 del 2006).</w:t>
      </w:r>
    </w:p>
    <w:p w:rsidR="00001DF3" w:rsidRPr="00D66D46" w:rsidRDefault="00C46D0A" w:rsidP="00C46D0A">
      <w:pPr>
        <w:spacing w:after="0" w:line="360" w:lineRule="auto"/>
        <w:jc w:val="both"/>
        <w:rPr>
          <w:b/>
          <w:sz w:val="24"/>
          <w:szCs w:val="24"/>
        </w:rPr>
      </w:pPr>
      <w:r w:rsidRPr="00D66D46">
        <w:rPr>
          <w:b/>
          <w:sz w:val="24"/>
          <w:szCs w:val="24"/>
        </w:rPr>
        <w:t>B)</w:t>
      </w:r>
      <w:r w:rsidRPr="00D66D46">
        <w:rPr>
          <w:b/>
          <w:sz w:val="24"/>
          <w:szCs w:val="24"/>
        </w:rPr>
        <w:tab/>
        <w:t xml:space="preserve">Notificazione del ricorso per cassazione effettuata presso il procuratore della controparte costituito in primo grado e revoca del mandato a tale difensore con nomina di uno diverso per il grado di appello: </w:t>
      </w:r>
    </w:p>
    <w:p w:rsidR="00C55261" w:rsidRDefault="00C46D0A" w:rsidP="00C46D0A">
      <w:pPr>
        <w:spacing w:after="0" w:line="360" w:lineRule="auto"/>
        <w:jc w:val="both"/>
        <w:rPr>
          <w:sz w:val="24"/>
          <w:szCs w:val="24"/>
        </w:rPr>
      </w:pPr>
      <w:r w:rsidRPr="00C55261">
        <w:rPr>
          <w:b/>
          <w:sz w:val="24"/>
          <w:szCs w:val="24"/>
        </w:rPr>
        <w:t>b</w:t>
      </w:r>
      <w:r w:rsidR="00001DF3" w:rsidRPr="00C55261">
        <w:rPr>
          <w:b/>
          <w:sz w:val="24"/>
          <w:szCs w:val="24"/>
        </w:rPr>
        <w:t>1</w:t>
      </w:r>
      <w:r w:rsidRPr="00C55261">
        <w:rPr>
          <w:b/>
          <w:sz w:val="24"/>
          <w:szCs w:val="24"/>
        </w:rPr>
        <w:t>) anche in questo caso, ed analogamente, secondo un primo indirizzo</w:t>
      </w:r>
      <w:r w:rsidRPr="00C46D0A">
        <w:rPr>
          <w:sz w:val="24"/>
          <w:szCs w:val="24"/>
        </w:rPr>
        <w:t xml:space="preserve"> la notificazione è affetta da giuridica inesistenza e non da mera nullità (con esclusione, pertanto, di ogni possibilità di sanatoria o rinnovazione), dal momento che, una volta intervenuta la sostituzione del difensore revocato, si interrompe ogni rapporto tra la parte ed il procuratore cessato e questi non è</w:t>
      </w:r>
      <w:r>
        <w:rPr>
          <w:sz w:val="24"/>
          <w:szCs w:val="24"/>
        </w:rPr>
        <w:t xml:space="preserve"> </w:t>
      </w:r>
      <w:r w:rsidRPr="00C46D0A">
        <w:rPr>
          <w:sz w:val="24"/>
          <w:szCs w:val="24"/>
        </w:rPr>
        <w:t xml:space="preserve">più gravato da alcun obbligo, non operando, in tale ipotesi, la proroga disposta dall'art. 85 cod proc. </w:t>
      </w:r>
      <w:r w:rsidR="00001DF3">
        <w:rPr>
          <w:sz w:val="24"/>
          <w:szCs w:val="24"/>
        </w:rPr>
        <w:t>c</w:t>
      </w:r>
      <w:r w:rsidRPr="00C46D0A">
        <w:rPr>
          <w:sz w:val="24"/>
          <w:szCs w:val="24"/>
        </w:rPr>
        <w:t>iv</w:t>
      </w:r>
      <w:r w:rsidR="00001DF3">
        <w:rPr>
          <w:sz w:val="24"/>
          <w:szCs w:val="24"/>
        </w:rPr>
        <w:t>.</w:t>
      </w:r>
      <w:r w:rsidRPr="00C46D0A">
        <w:rPr>
          <w:sz w:val="24"/>
          <w:szCs w:val="24"/>
        </w:rPr>
        <w:t xml:space="preserve"> per il solo caso della semplice revoca del mandato, non accompagnata dalla nomina di un nuovo </w:t>
      </w:r>
      <w:r w:rsidRPr="00C46D0A">
        <w:rPr>
          <w:sz w:val="24"/>
          <w:szCs w:val="24"/>
        </w:rPr>
        <w:lastRenderedPageBreak/>
        <w:t xml:space="preserve">difensore (tra altre, Cass., sez. un., n. 3947 del 1987 e Cass. nn. 9147 del 2007, 3338 del 2009, 13477 del 2012); </w:t>
      </w:r>
    </w:p>
    <w:p w:rsidR="00C46D0A" w:rsidRPr="00C46D0A" w:rsidRDefault="00C46D0A" w:rsidP="00C46D0A">
      <w:pPr>
        <w:spacing w:after="0" w:line="360" w:lineRule="auto"/>
        <w:jc w:val="both"/>
        <w:rPr>
          <w:sz w:val="24"/>
          <w:szCs w:val="24"/>
        </w:rPr>
      </w:pPr>
      <w:r w:rsidRPr="00C55261">
        <w:rPr>
          <w:b/>
          <w:sz w:val="24"/>
          <w:szCs w:val="24"/>
        </w:rPr>
        <w:t>b2) altro orientamento</w:t>
      </w:r>
      <w:r w:rsidRPr="00C46D0A">
        <w:rPr>
          <w:sz w:val="24"/>
          <w:szCs w:val="24"/>
        </w:rPr>
        <w:t xml:space="preserve"> ritiene, invece, che una tale notifica, essendo eseguita in un luogo diverso da quello prescritto, ma non privo di un astratto collegamento con il destinatario, è affetta da nullità e non da giuridica inesistenza, con l'effetto che la rituale presentazione del controricorso contenente la difesa nel merito, dimostrando ex post che la notificazione ha raggiunto Io scopo cui era preordinata, impedisce di ritenerla inesistente poiché non riferibile al luogo ed alla parte destinataria, con conseguente am</w:t>
      </w:r>
      <w:r w:rsidR="00971A4D">
        <w:rPr>
          <w:sz w:val="24"/>
          <w:szCs w:val="24"/>
        </w:rPr>
        <w:t>missibilità del ricorso (ex alii</w:t>
      </w:r>
      <w:r w:rsidRPr="00C46D0A">
        <w:rPr>
          <w:sz w:val="24"/>
          <w:szCs w:val="24"/>
        </w:rPr>
        <w:t>s, Cass. nn. 22293 del 2004, 13667 del 2007 e 13451 del 2013).</w:t>
      </w:r>
    </w:p>
    <w:p w:rsidR="00C46D0A" w:rsidRPr="00C55261" w:rsidRDefault="00C55261" w:rsidP="00C46D0A">
      <w:pPr>
        <w:spacing w:after="0" w:line="360" w:lineRule="auto"/>
        <w:jc w:val="both"/>
        <w:rPr>
          <w:b/>
          <w:sz w:val="24"/>
          <w:szCs w:val="24"/>
        </w:rPr>
      </w:pPr>
      <w:r w:rsidRPr="00C55261">
        <w:rPr>
          <w:b/>
          <w:sz w:val="24"/>
          <w:szCs w:val="24"/>
        </w:rPr>
        <w:t>L</w:t>
      </w:r>
      <w:r w:rsidR="00C46D0A" w:rsidRPr="00C55261">
        <w:rPr>
          <w:b/>
          <w:sz w:val="24"/>
          <w:szCs w:val="24"/>
        </w:rPr>
        <w:t xml:space="preserve">e </w:t>
      </w:r>
      <w:r w:rsidRPr="00C55261">
        <w:rPr>
          <w:b/>
          <w:sz w:val="24"/>
          <w:szCs w:val="24"/>
        </w:rPr>
        <w:t>Sezioni U</w:t>
      </w:r>
      <w:r w:rsidR="00C46D0A" w:rsidRPr="00C55261">
        <w:rPr>
          <w:b/>
          <w:sz w:val="24"/>
          <w:szCs w:val="24"/>
        </w:rPr>
        <w:t xml:space="preserve">nite </w:t>
      </w:r>
      <w:r w:rsidRPr="00C55261">
        <w:rPr>
          <w:b/>
          <w:sz w:val="24"/>
          <w:szCs w:val="24"/>
        </w:rPr>
        <w:t xml:space="preserve"> della Corte di Cassazione ritengono </w:t>
      </w:r>
      <w:r w:rsidR="00C46D0A" w:rsidRPr="00C55261">
        <w:rPr>
          <w:b/>
          <w:sz w:val="24"/>
          <w:szCs w:val="24"/>
        </w:rPr>
        <w:t>che le questioni sollevate necessitano di un esame e di una soluzione unitari, poiché investono, in radi</w:t>
      </w:r>
      <w:r w:rsidR="00937397" w:rsidRPr="00C55261">
        <w:rPr>
          <w:b/>
          <w:sz w:val="24"/>
          <w:szCs w:val="24"/>
        </w:rPr>
        <w:t>ce, un unico problema di fondo</w:t>
      </w:r>
      <w:r w:rsidR="00C46D0A" w:rsidRPr="00C55261">
        <w:rPr>
          <w:b/>
          <w:sz w:val="24"/>
          <w:szCs w:val="24"/>
        </w:rPr>
        <w:t xml:space="preserve"> di notevolissimo rilievo teorico e pratico (in quanto ha dato luogo da decenni, e continua a dar luogo, a persistenti oscillazioni giurisprudenziali), che consiste nell'individuare un criterio distintivo il più possibile chiaro, univoco e sicuro tra le tradizionali nozioni di inesistenza e di nullità della notificazione (specificamente, del ricorso per cassazione) e che, in definitiva, tocca la stessa validità concettuale (e concreta utilità) della distinzione tra le due nozioni, cioè, in sostanza, la configurabilità della inesistenza come "vizio" dell'atto, autonomo e più grave della nullità, con le conseguenze che ne derivano.</w:t>
      </w:r>
    </w:p>
    <w:p w:rsidR="00C46D0A" w:rsidRPr="00C46D0A" w:rsidRDefault="00C46D0A" w:rsidP="00C46D0A">
      <w:pPr>
        <w:spacing w:after="0" w:line="360" w:lineRule="auto"/>
        <w:jc w:val="both"/>
        <w:rPr>
          <w:sz w:val="24"/>
          <w:szCs w:val="24"/>
        </w:rPr>
      </w:pPr>
      <w:r w:rsidRPr="00C46D0A">
        <w:rPr>
          <w:sz w:val="24"/>
          <w:szCs w:val="24"/>
        </w:rPr>
        <w:t>L'unica norma del codice di procedura civile che si occupa dell'invalidità della notificazione è l'art. 160, il quale, sotto la rubrica "Nullità della notificazione", dispone che "La notificazione è nulla se non sono osservate le disposizioni circa la persona alla quale deve essere consegnata la copia, o se vi è incertezza assoluta sulla persona a cui è fatta o sulla data, salva l'applicaz</w:t>
      </w:r>
      <w:r w:rsidR="00937397">
        <w:rPr>
          <w:sz w:val="24"/>
          <w:szCs w:val="24"/>
        </w:rPr>
        <w:t>ione degli artt. 156 e 157”</w:t>
      </w:r>
      <w:r w:rsidRPr="00C46D0A">
        <w:rPr>
          <w:sz w:val="24"/>
          <w:szCs w:val="24"/>
        </w:rPr>
        <w:t>.</w:t>
      </w:r>
    </w:p>
    <w:p w:rsidR="00C46D0A" w:rsidRPr="00467778" w:rsidRDefault="00C46D0A" w:rsidP="00C46D0A">
      <w:pPr>
        <w:spacing w:after="0" w:line="360" w:lineRule="auto"/>
        <w:jc w:val="both"/>
        <w:rPr>
          <w:b/>
          <w:sz w:val="24"/>
          <w:szCs w:val="24"/>
        </w:rPr>
      </w:pPr>
      <w:r w:rsidRPr="00467778">
        <w:rPr>
          <w:b/>
          <w:sz w:val="24"/>
          <w:szCs w:val="24"/>
        </w:rPr>
        <w:t>Ai fini che qui interessano assume centrale rilievo l'art. 156 ("Rilevanza della nullità"), il quale prevede che: "Non può essere pronunciata la nullità per inosservanza di forme di alcun atto del processo, se la nullità non è comminata dalla legge" (primo comma); "Può tuttavia essere pronunciata quando l'atto manca dei requisiti formali indispensabili per il raggiungimento dello scopo" (secondo comma); "La nullità non può mai essere pronunciata, se l'atto ha raggiunto lo scopo a cui è destinato" (terzo comma).</w:t>
      </w:r>
    </w:p>
    <w:p w:rsidR="0089272C" w:rsidRDefault="00C46D0A" w:rsidP="00C46D0A">
      <w:pPr>
        <w:spacing w:after="0" w:line="360" w:lineRule="auto"/>
        <w:jc w:val="both"/>
        <w:rPr>
          <w:sz w:val="24"/>
          <w:szCs w:val="24"/>
        </w:rPr>
      </w:pPr>
      <w:r w:rsidRPr="00C46D0A">
        <w:rPr>
          <w:sz w:val="24"/>
          <w:szCs w:val="24"/>
        </w:rPr>
        <w:t>Una prima osserv</w:t>
      </w:r>
      <w:r w:rsidR="0089272C">
        <w:rPr>
          <w:sz w:val="24"/>
          <w:szCs w:val="24"/>
        </w:rPr>
        <w:t>azione può essere già formulata.</w:t>
      </w:r>
    </w:p>
    <w:p w:rsidR="00C46D0A" w:rsidRPr="00C46D0A" w:rsidRDefault="0089272C" w:rsidP="00C46D0A">
      <w:pPr>
        <w:spacing w:after="0" w:line="360" w:lineRule="auto"/>
        <w:jc w:val="both"/>
        <w:rPr>
          <w:sz w:val="24"/>
          <w:szCs w:val="24"/>
        </w:rPr>
      </w:pPr>
      <w:r>
        <w:rPr>
          <w:sz w:val="24"/>
          <w:szCs w:val="24"/>
        </w:rPr>
        <w:t>I</w:t>
      </w:r>
      <w:r w:rsidR="00C46D0A" w:rsidRPr="00C46D0A">
        <w:rPr>
          <w:sz w:val="24"/>
          <w:szCs w:val="24"/>
        </w:rPr>
        <w:t xml:space="preserve">n tema di notificazione, come in generale di atti processuali, il codice non contempla la categoria della "inesistenza", nemmeno con riguardo alla sentenza priva della sottoscrizione del giudice, </w:t>
      </w:r>
      <w:r w:rsidR="00C46D0A" w:rsidRPr="00C46D0A">
        <w:rPr>
          <w:sz w:val="24"/>
          <w:szCs w:val="24"/>
        </w:rPr>
        <w:lastRenderedPageBreak/>
        <w:t>qualificata come affetta da nullità per la quale è tuttavia esclusa, ai sensi dell'art. 161, secondo comma, cod. proc. civ., l'applicazione del principio dell'assorbimento nei mezzi di gravame sul tema cfr. ora Cass., sez. un., n. 11021 del 2014; nullità, quindi, assolutamente insanabile (in relazione alla quale viene evocata, da una gran parte della dottrina e della giurisprudenza, la figura della inesistenza).</w:t>
      </w:r>
    </w:p>
    <w:p w:rsidR="00D976E5" w:rsidRDefault="003176BD" w:rsidP="00C46D0A">
      <w:pPr>
        <w:spacing w:after="0" w:line="360" w:lineRule="auto"/>
        <w:jc w:val="both"/>
        <w:rPr>
          <w:sz w:val="24"/>
          <w:szCs w:val="24"/>
        </w:rPr>
      </w:pPr>
      <w:r>
        <w:rPr>
          <w:sz w:val="24"/>
          <w:szCs w:val="24"/>
        </w:rPr>
        <w:t xml:space="preserve">Tale constatazione, tuttavia </w:t>
      </w:r>
      <w:r w:rsidR="00C46D0A" w:rsidRPr="00C46D0A">
        <w:rPr>
          <w:sz w:val="24"/>
          <w:szCs w:val="24"/>
        </w:rPr>
        <w:t>non è appagante</w:t>
      </w:r>
      <w:r w:rsidR="00D976E5">
        <w:rPr>
          <w:sz w:val="24"/>
          <w:szCs w:val="24"/>
        </w:rPr>
        <w:t>, secondo le Sezioni Unite della Corte di Cassazione con la citata sentenza n. 14916/16.</w:t>
      </w:r>
    </w:p>
    <w:p w:rsidR="00C46D0A" w:rsidRPr="00FE743C" w:rsidRDefault="00D976E5" w:rsidP="00C46D0A">
      <w:pPr>
        <w:spacing w:after="0" w:line="360" w:lineRule="auto"/>
        <w:jc w:val="both"/>
        <w:rPr>
          <w:b/>
          <w:sz w:val="24"/>
          <w:szCs w:val="24"/>
        </w:rPr>
      </w:pPr>
      <w:r w:rsidRPr="00FE743C">
        <w:rPr>
          <w:b/>
          <w:sz w:val="24"/>
          <w:szCs w:val="24"/>
        </w:rPr>
        <w:t xml:space="preserve">Infatti, </w:t>
      </w:r>
      <w:r w:rsidR="00C46D0A" w:rsidRPr="00FE743C">
        <w:rPr>
          <w:b/>
          <w:sz w:val="24"/>
          <w:szCs w:val="24"/>
        </w:rPr>
        <w:t>il legislatore non ha motivo di disciplinare gli effetti di ciò che non esiste, non solo, com'è ovvio, dal punto di vista storico-naturalistico, ma anche sotto il profilo giuridico; per altro verso, induce a ritenere che la nozione di inesistenza della notificazione debba essere definita in termini assolutamente rigorosi, cioè confinata ad ipotesi talmente radicali che il legislatore ha, appunto, ritenuto di non prendere nemmeno in considerazione (già da tempo la giurisprudenza ha sottolineato l'esigenza di assegnare carattere residuale alla categoria dell'inesistenza della notificazione: Cass., sez. un., n. 22641 del 2007 e n. 10817 del 2008; Cass. n. 6183 del 2009 e n. 12478 del 2013).</w:t>
      </w:r>
    </w:p>
    <w:p w:rsidR="00C46D0A" w:rsidRPr="00867D0F" w:rsidRDefault="00C46D0A" w:rsidP="00C46D0A">
      <w:pPr>
        <w:spacing w:after="0" w:line="360" w:lineRule="auto"/>
        <w:jc w:val="both"/>
        <w:rPr>
          <w:b/>
          <w:sz w:val="24"/>
          <w:szCs w:val="24"/>
        </w:rPr>
      </w:pPr>
      <w:r w:rsidRPr="00867D0F">
        <w:rPr>
          <w:b/>
          <w:sz w:val="24"/>
          <w:szCs w:val="24"/>
        </w:rPr>
        <w:t>In definitiva, deve affermarsi che l'inesistenza della notificazione è configurabile, oltre che in caso di totale mancanza materiale dell'atto, nelle sole ipotesi in cui venga posta in essere un'attività priva degli elementi costitutivi essenziali idonei a rendere riconoscibile quell'atto.</w:t>
      </w:r>
    </w:p>
    <w:p w:rsidR="00C46D0A" w:rsidRPr="00867D0F" w:rsidRDefault="00C46D0A" w:rsidP="00C46D0A">
      <w:pPr>
        <w:spacing w:after="0" w:line="360" w:lineRule="auto"/>
        <w:jc w:val="both"/>
        <w:rPr>
          <w:b/>
          <w:sz w:val="24"/>
          <w:szCs w:val="24"/>
        </w:rPr>
      </w:pPr>
      <w:r w:rsidRPr="00867D0F">
        <w:rPr>
          <w:b/>
          <w:sz w:val="24"/>
          <w:szCs w:val="24"/>
        </w:rPr>
        <w:t>L'inesistenza non è, dunque, in senso stretto, un vizio dell'atto più grave della nullità, poiché la dicotomia nullità/inesistenza va, alla fine, ricondotta alla bipartizione tra l'atto e il non atto.</w:t>
      </w:r>
    </w:p>
    <w:p w:rsidR="00C46D0A" w:rsidRPr="00C46D0A" w:rsidRDefault="00C46D0A" w:rsidP="00C46D0A">
      <w:pPr>
        <w:spacing w:after="0" w:line="360" w:lineRule="auto"/>
        <w:jc w:val="both"/>
        <w:rPr>
          <w:sz w:val="24"/>
          <w:szCs w:val="24"/>
        </w:rPr>
      </w:pPr>
      <w:r w:rsidRPr="00C46D0A">
        <w:rPr>
          <w:sz w:val="24"/>
          <w:szCs w:val="24"/>
        </w:rPr>
        <w:t>Rilievo fondamentale va attribuito in materia al citato art. 156 cod. proc. civ. (richiamato dall'art. 160), nel quale trova diretta espressione unitamente agli artt. 121 ("Gli atti del processo, per i quali la legge non</w:t>
      </w:r>
      <w:r>
        <w:rPr>
          <w:sz w:val="24"/>
          <w:szCs w:val="24"/>
        </w:rPr>
        <w:t xml:space="preserve"> </w:t>
      </w:r>
      <w:r w:rsidRPr="00C46D0A">
        <w:rPr>
          <w:sz w:val="24"/>
          <w:szCs w:val="24"/>
        </w:rPr>
        <w:t>richiede forme determinate, possono essere compiuti nella forma più idonea al raggiungimento del loro scopo") e 131, primo comma (secondo il quale, quando la legge non prescrive che il giudice pronunci sentenza, ordinanza o decreto, "i provvedimenti sono dati in qualsiasi forma idonea al r</w:t>
      </w:r>
      <w:r w:rsidR="009860EF">
        <w:rPr>
          <w:sz w:val="24"/>
          <w:szCs w:val="24"/>
        </w:rPr>
        <w:t>aggiungimento del loro scopo")</w:t>
      </w:r>
      <w:r w:rsidRPr="00C46D0A">
        <w:rPr>
          <w:sz w:val="24"/>
          <w:szCs w:val="24"/>
        </w:rPr>
        <w:t xml:space="preserve"> il principio di strumentalità delle forme degli atti processuali, che permea l'intero codice di procedura civile ed al quale, quindi, l'interprete deve costantemente ispirarsi.</w:t>
      </w:r>
    </w:p>
    <w:p w:rsidR="00867D0F" w:rsidRPr="00867D0F" w:rsidRDefault="00C46D0A" w:rsidP="00C46D0A">
      <w:pPr>
        <w:spacing w:after="0" w:line="360" w:lineRule="auto"/>
        <w:jc w:val="both"/>
        <w:rPr>
          <w:b/>
          <w:sz w:val="24"/>
          <w:szCs w:val="24"/>
        </w:rPr>
      </w:pPr>
      <w:r w:rsidRPr="00867D0F">
        <w:rPr>
          <w:b/>
          <w:sz w:val="24"/>
          <w:szCs w:val="24"/>
        </w:rPr>
        <w:t>Le forme degli atti, cioè, sono prescritte al fine esclusivo di conseguire un determinato scopo, coincidente con la funzione che il singolo atto è destinato ad assolvere nell'ambito del processo, e così, in definitiva, con lo scopo ultimo del processo, consistente nella pronuncia sul merito della s</w:t>
      </w:r>
      <w:r w:rsidR="00867D0F" w:rsidRPr="00867D0F">
        <w:rPr>
          <w:b/>
          <w:sz w:val="24"/>
          <w:szCs w:val="24"/>
        </w:rPr>
        <w:t>ituazione giuridica controversa.</w:t>
      </w:r>
    </w:p>
    <w:p w:rsidR="00C46D0A" w:rsidRPr="00867D0F" w:rsidRDefault="00867D0F" w:rsidP="00C46D0A">
      <w:pPr>
        <w:spacing w:after="0" w:line="360" w:lineRule="auto"/>
        <w:jc w:val="both"/>
        <w:rPr>
          <w:b/>
          <w:sz w:val="24"/>
          <w:szCs w:val="24"/>
        </w:rPr>
      </w:pPr>
      <w:r w:rsidRPr="00867D0F">
        <w:rPr>
          <w:b/>
          <w:sz w:val="24"/>
          <w:szCs w:val="24"/>
        </w:rPr>
        <w:lastRenderedPageBreak/>
        <w:t>I</w:t>
      </w:r>
      <w:r w:rsidR="00C46D0A" w:rsidRPr="00867D0F">
        <w:rPr>
          <w:b/>
          <w:sz w:val="24"/>
          <w:szCs w:val="24"/>
        </w:rPr>
        <w:t xml:space="preserve">l principio del &lt;giusto processo&gt;, di cui all'art. 111 </w:t>
      </w:r>
      <w:r w:rsidR="009860EF" w:rsidRPr="00867D0F">
        <w:rPr>
          <w:b/>
          <w:sz w:val="24"/>
          <w:szCs w:val="24"/>
        </w:rPr>
        <w:t>Cost.</w:t>
      </w:r>
      <w:r w:rsidR="00C46D0A" w:rsidRPr="00867D0F">
        <w:rPr>
          <w:b/>
          <w:sz w:val="24"/>
          <w:szCs w:val="24"/>
        </w:rPr>
        <w:t xml:space="preserve"> ed all'art. 6 della Convenzione europea per la salvaguardia dei diritti dell'uomo e delle</w:t>
      </w:r>
      <w:r w:rsidRPr="00867D0F">
        <w:rPr>
          <w:b/>
          <w:sz w:val="24"/>
          <w:szCs w:val="24"/>
        </w:rPr>
        <w:t xml:space="preserve"> libertà fondamentali, comprende</w:t>
      </w:r>
      <w:r w:rsidR="00C46D0A" w:rsidRPr="00867D0F">
        <w:rPr>
          <w:b/>
          <w:sz w:val="24"/>
          <w:szCs w:val="24"/>
        </w:rPr>
        <w:t xml:space="preserve">, tra i valori che intende tutelare (oltre alla durata ragionevole del processo, all'imparzialità del giudice, alla tutela del contraddittorio, ecc.), il diritto di ogni persona ad un "giudice" che emetta una decisione sul merito della domanda ed imponga, pertanto, all'interprete di preferire scelte ermeneutiche tendenti a garantire tale finalità, </w:t>
      </w:r>
      <w:r w:rsidRPr="00867D0F">
        <w:rPr>
          <w:b/>
          <w:sz w:val="24"/>
          <w:szCs w:val="24"/>
        </w:rPr>
        <w:t xml:space="preserve">e </w:t>
      </w:r>
      <w:r w:rsidR="00C46D0A" w:rsidRPr="00867D0F">
        <w:rPr>
          <w:b/>
          <w:sz w:val="24"/>
          <w:szCs w:val="24"/>
        </w:rPr>
        <w:t>costituisce affermazione acquisita nella giurisprudenza di questa Corte (cfr. Cass., sez. un., nn. 15144 del 2011, 17931 del 2013, 5700 del 2014, nonché Cass. nn. 3362 del 2009, 14627 del 2010, 17698 del 2014, 1483 del 2015), anche alla luce di quella della Corte EDU, la quale ammette limitazioni all'accesso ad un giudice solo in quanto espressamente previste dalla legge ed in presenza di un rapporto di proporzionalità tra i mezzi impiegati e Io scopo perseguito (v., tra altre, Omar c. Francia, 29 luglio 1998; Bellet c. Francia, 4 dicembre 1995), ponendo in rilievo la esigenza che tali limitazioni siano stabilite in modo chiaro e prevedibile (v., ad es., Faltejsek c. Rep. Ceca, 15 agosto 2008).</w:t>
      </w:r>
    </w:p>
    <w:p w:rsidR="00C46D0A" w:rsidRPr="000569EF" w:rsidRDefault="00C46D0A" w:rsidP="00C46D0A">
      <w:pPr>
        <w:spacing w:after="0" w:line="360" w:lineRule="auto"/>
        <w:jc w:val="both"/>
        <w:rPr>
          <w:b/>
          <w:sz w:val="24"/>
          <w:szCs w:val="24"/>
        </w:rPr>
      </w:pPr>
      <w:r w:rsidRPr="000569EF">
        <w:rPr>
          <w:b/>
          <w:sz w:val="24"/>
          <w:szCs w:val="24"/>
        </w:rPr>
        <w:t>In particolare, riveste importanza decisiva il terzo comma dell'art. 156 cit., il quale, dopo che nel comma precedente è previsto che la nullità può essere pronunciata - anche al di là dell'</w:t>
      </w:r>
      <w:r w:rsidR="009860EF" w:rsidRPr="000569EF">
        <w:rPr>
          <w:b/>
          <w:sz w:val="24"/>
          <w:szCs w:val="24"/>
        </w:rPr>
        <w:t>espressa comminatoria di legge</w:t>
      </w:r>
      <w:r w:rsidRPr="000569EF">
        <w:rPr>
          <w:b/>
          <w:sz w:val="24"/>
          <w:szCs w:val="24"/>
        </w:rPr>
        <w:t xml:space="preserve"> "quando l'atto manca dei requisiti formali indispensabili per il raggiungimento dello scopo", stabilisce, con formula perentoria e di chiusura, che la nullità "non può mai essere pronunciata, se l'atto ha raggiunto lo scopo a cui è destinato".</w:t>
      </w:r>
    </w:p>
    <w:p w:rsidR="00C46D0A" w:rsidRPr="005F447C" w:rsidRDefault="00C46D0A" w:rsidP="00C46D0A">
      <w:pPr>
        <w:spacing w:after="0" w:line="360" w:lineRule="auto"/>
        <w:jc w:val="both"/>
        <w:rPr>
          <w:b/>
          <w:sz w:val="24"/>
          <w:szCs w:val="24"/>
        </w:rPr>
      </w:pPr>
      <w:r w:rsidRPr="005F447C">
        <w:rPr>
          <w:b/>
          <w:sz w:val="24"/>
          <w:szCs w:val="24"/>
        </w:rPr>
        <w:t>Da tale norma discendono, per quanto concerne la notificazione, le seguenti conseguenze:</w:t>
      </w:r>
    </w:p>
    <w:p w:rsidR="00C46D0A" w:rsidRPr="005F447C" w:rsidRDefault="00C46D0A" w:rsidP="00C46D0A">
      <w:pPr>
        <w:spacing w:after="0" w:line="360" w:lineRule="auto"/>
        <w:jc w:val="both"/>
        <w:rPr>
          <w:b/>
          <w:sz w:val="24"/>
          <w:szCs w:val="24"/>
        </w:rPr>
      </w:pPr>
      <w:r w:rsidRPr="005F447C">
        <w:rPr>
          <w:b/>
          <w:sz w:val="24"/>
          <w:szCs w:val="24"/>
        </w:rPr>
        <w:t>a)</w:t>
      </w:r>
      <w:r w:rsidRPr="005F447C">
        <w:rPr>
          <w:b/>
          <w:sz w:val="24"/>
          <w:szCs w:val="24"/>
        </w:rPr>
        <w:tab/>
        <w:t>occorre che un "atto", riconoscibile come "notificazione", esista, nei ristretti termini sopra indicati, e che verranno di seguito precisati;</w:t>
      </w:r>
    </w:p>
    <w:p w:rsidR="00C46D0A" w:rsidRPr="005F447C" w:rsidRDefault="00C46D0A" w:rsidP="00C46D0A">
      <w:pPr>
        <w:spacing w:after="0" w:line="360" w:lineRule="auto"/>
        <w:jc w:val="both"/>
        <w:rPr>
          <w:b/>
          <w:sz w:val="24"/>
          <w:szCs w:val="24"/>
        </w:rPr>
      </w:pPr>
      <w:r w:rsidRPr="005F447C">
        <w:rPr>
          <w:b/>
          <w:sz w:val="24"/>
          <w:szCs w:val="24"/>
        </w:rPr>
        <w:t>b)</w:t>
      </w:r>
      <w:r w:rsidRPr="005F447C">
        <w:rPr>
          <w:b/>
          <w:sz w:val="24"/>
          <w:szCs w:val="24"/>
        </w:rPr>
        <w:tab/>
        <w:t xml:space="preserve">se così è, qualunque vizio dell'atto ricade nell'ambito della nullità, senza che possa distinguersi, al fine di individuare ulteriori ipotesi di inesistenza attraverso la negazione del raggiungimento dello scopo, tra valutazione ex ante e constatazione ex post, poiché il legislatore ha chiaramente inteso dare prevalenza a quest'ultima in piena attuazione del principio </w:t>
      </w:r>
      <w:r w:rsidR="009860EF" w:rsidRPr="005F447C">
        <w:rPr>
          <w:b/>
          <w:sz w:val="24"/>
          <w:szCs w:val="24"/>
        </w:rPr>
        <w:t>della strumentalità delle forme</w:t>
      </w:r>
      <w:r w:rsidRPr="005F447C">
        <w:rPr>
          <w:b/>
          <w:sz w:val="24"/>
          <w:szCs w:val="24"/>
        </w:rPr>
        <w:t>, cioè ai dati dell'esperienza concreta, sia pure dovuta ad accadimenti del tutto accidentali, rispetto agli elementi di astratta potenzialità e prevedibilità.</w:t>
      </w:r>
    </w:p>
    <w:p w:rsidR="00C46D0A" w:rsidRPr="00C46D0A" w:rsidRDefault="00C46D0A" w:rsidP="00C46D0A">
      <w:pPr>
        <w:spacing w:after="0" w:line="360" w:lineRule="auto"/>
        <w:jc w:val="both"/>
        <w:rPr>
          <w:sz w:val="24"/>
          <w:szCs w:val="24"/>
        </w:rPr>
      </w:pPr>
      <w:r w:rsidRPr="00C46D0A">
        <w:rPr>
          <w:sz w:val="24"/>
          <w:szCs w:val="24"/>
        </w:rPr>
        <w:t>Scopo della notificazione è quello di provocare la presa di conoscenza di un atto da parte del destinatario, attraverso la certezza legale che esso sia entrato nella sua sfera di conoscibilità, con gli effetti</w:t>
      </w:r>
      <w:r w:rsidR="005F447C">
        <w:rPr>
          <w:sz w:val="24"/>
          <w:szCs w:val="24"/>
        </w:rPr>
        <w:t xml:space="preserve"> che ne conseguono</w:t>
      </w:r>
      <w:r w:rsidRPr="00C46D0A">
        <w:rPr>
          <w:sz w:val="24"/>
          <w:szCs w:val="24"/>
        </w:rPr>
        <w:t>.</w:t>
      </w:r>
    </w:p>
    <w:p w:rsidR="00C46D0A" w:rsidRPr="00F44E1B" w:rsidRDefault="00C46D0A" w:rsidP="00C46D0A">
      <w:pPr>
        <w:spacing w:after="0" w:line="360" w:lineRule="auto"/>
        <w:jc w:val="both"/>
        <w:rPr>
          <w:b/>
          <w:sz w:val="24"/>
          <w:szCs w:val="24"/>
        </w:rPr>
      </w:pPr>
      <w:r w:rsidRPr="00F44E1B">
        <w:rPr>
          <w:b/>
          <w:sz w:val="24"/>
          <w:szCs w:val="24"/>
        </w:rPr>
        <w:t xml:space="preserve">In presenza di una notificazione nulla, così come opera la sanatoria per raggiungimento dello scopo, attraverso la costituzione in giudizio della parte intimata, correlativamente, in mancanza </w:t>
      </w:r>
      <w:r w:rsidRPr="00F44E1B">
        <w:rPr>
          <w:b/>
          <w:sz w:val="24"/>
          <w:szCs w:val="24"/>
        </w:rPr>
        <w:lastRenderedPageBreak/>
        <w:t xml:space="preserve">di tale costituzione, il giudice, ai sensi dell'art. 291 cod. proc. civ., deve </w:t>
      </w:r>
      <w:r w:rsidR="009860EF" w:rsidRPr="00F44E1B">
        <w:rPr>
          <w:b/>
          <w:sz w:val="24"/>
          <w:szCs w:val="24"/>
        </w:rPr>
        <w:t>disporre</w:t>
      </w:r>
      <w:r w:rsidRPr="00F44E1B">
        <w:rPr>
          <w:b/>
          <w:sz w:val="24"/>
          <w:szCs w:val="24"/>
        </w:rPr>
        <w:t xml:space="preserve"> la rinnovazione della notificazione (fissando a tal fine un termine perentorio), a meno che la parte stessa non abbia a ciò già spontaneamente provveduto.</w:t>
      </w:r>
    </w:p>
    <w:p w:rsidR="00C46D0A" w:rsidRPr="00C46D0A" w:rsidRDefault="00C46D0A" w:rsidP="00C46D0A">
      <w:pPr>
        <w:spacing w:after="0" w:line="360" w:lineRule="auto"/>
        <w:jc w:val="both"/>
        <w:rPr>
          <w:sz w:val="24"/>
          <w:szCs w:val="24"/>
        </w:rPr>
      </w:pPr>
      <w:r w:rsidRPr="00C46D0A">
        <w:rPr>
          <w:sz w:val="24"/>
          <w:szCs w:val="24"/>
        </w:rPr>
        <w:t xml:space="preserve">Entrambi i rimedi, che sono previsti a fronte del verificarsi del medesimo presupposto della nullità della notificazione con l'unica peculiarità che l'attivazione spontanea della parte (con la costituzione o la rinnovazione) rende superfluo l'intervento del giudice, operano con efficacia ex </w:t>
      </w:r>
      <w:r w:rsidR="00672122">
        <w:rPr>
          <w:sz w:val="24"/>
          <w:szCs w:val="24"/>
        </w:rPr>
        <w:t>tunc</w:t>
      </w:r>
      <w:r w:rsidRPr="00C46D0A">
        <w:rPr>
          <w:sz w:val="24"/>
          <w:szCs w:val="24"/>
        </w:rPr>
        <w:t>, cioè sanano con effetto retroattivo il vizio della notificazione (quella originaria, nel caso di rinnovazione): ciò è previsto espressamente nel citato art. 291 ("la rinnovazione impedisce ogni decadenza"), si configura come una normale qualità del concetto di sanatoria e costituisce un'ulteriore espressione del principio di strumentalità delle forme.</w:t>
      </w:r>
    </w:p>
    <w:p w:rsidR="00C46D0A" w:rsidRPr="005E1CAB" w:rsidRDefault="00C46D0A" w:rsidP="00C46D0A">
      <w:pPr>
        <w:spacing w:after="0" w:line="360" w:lineRule="auto"/>
        <w:jc w:val="both"/>
        <w:rPr>
          <w:b/>
          <w:sz w:val="24"/>
          <w:szCs w:val="24"/>
        </w:rPr>
      </w:pPr>
      <w:r w:rsidRPr="005E1CAB">
        <w:rPr>
          <w:b/>
          <w:sz w:val="24"/>
          <w:szCs w:val="24"/>
        </w:rPr>
        <w:t xml:space="preserve">Va ribadito, per completezza, che </w:t>
      </w:r>
      <w:r w:rsidR="00971A4D" w:rsidRPr="005E1CAB">
        <w:rPr>
          <w:b/>
          <w:sz w:val="24"/>
          <w:szCs w:val="24"/>
        </w:rPr>
        <w:t>il detto effetto sanante ex tunc</w:t>
      </w:r>
      <w:r w:rsidRPr="005E1CAB">
        <w:rPr>
          <w:b/>
          <w:sz w:val="24"/>
          <w:szCs w:val="24"/>
        </w:rPr>
        <w:t xml:space="preserve"> prodotto dalla costituzione del convenuto la quale non è mai tardiva, poiché la nullità della notificazione impedisce la decorrenza del termine (per tutte, Cass., sez. un., n. 14539 del 2001) opera anche nel caso in cui la costituzione sia effettuata al solo fine di eccepire la nullità (tra altre, Cass., sez. un., n. 5785 del 1994; Cass. nn. 10119 del 2006, 13667 del 2007, 6470 del 2011).</w:t>
      </w:r>
    </w:p>
    <w:p w:rsidR="00C46D0A" w:rsidRPr="00C46D0A" w:rsidRDefault="00C46D0A" w:rsidP="00C46D0A">
      <w:pPr>
        <w:spacing w:after="0" w:line="360" w:lineRule="auto"/>
        <w:jc w:val="both"/>
        <w:rPr>
          <w:sz w:val="24"/>
          <w:szCs w:val="24"/>
        </w:rPr>
      </w:pPr>
      <w:r w:rsidRPr="00C46D0A">
        <w:rPr>
          <w:sz w:val="24"/>
          <w:szCs w:val="24"/>
        </w:rPr>
        <w:t>La notificazione è solitamente definita come una sequenza di</w:t>
      </w:r>
      <w:r w:rsidR="00242827">
        <w:rPr>
          <w:sz w:val="24"/>
          <w:szCs w:val="24"/>
        </w:rPr>
        <w:t xml:space="preserve"> atti, un procedimento</w:t>
      </w:r>
      <w:r w:rsidRPr="00C46D0A">
        <w:rPr>
          <w:sz w:val="24"/>
          <w:szCs w:val="24"/>
        </w:rPr>
        <w:t xml:space="preserve"> articolato in fasi e finalizzato allo scopo indicato </w:t>
      </w:r>
      <w:r w:rsidR="00242827">
        <w:rPr>
          <w:sz w:val="24"/>
          <w:szCs w:val="24"/>
        </w:rPr>
        <w:t>in precedenza</w:t>
      </w:r>
      <w:r w:rsidRPr="00C46D0A">
        <w:rPr>
          <w:sz w:val="24"/>
          <w:szCs w:val="24"/>
        </w:rPr>
        <w:t>.</w:t>
      </w:r>
    </w:p>
    <w:p w:rsidR="009860EF" w:rsidRPr="006938D2" w:rsidRDefault="00C46D0A" w:rsidP="00C46D0A">
      <w:pPr>
        <w:spacing w:after="0" w:line="360" w:lineRule="auto"/>
        <w:jc w:val="both"/>
        <w:rPr>
          <w:b/>
          <w:sz w:val="24"/>
          <w:szCs w:val="24"/>
        </w:rPr>
      </w:pPr>
      <w:r w:rsidRPr="006938D2">
        <w:rPr>
          <w:b/>
          <w:sz w:val="24"/>
          <w:szCs w:val="24"/>
        </w:rPr>
        <w:t xml:space="preserve">Gli elementi costitutivi imprescindibili di tale procedimento vanno individuati, quanto al ricorso per cassazione: </w:t>
      </w:r>
    </w:p>
    <w:p w:rsidR="009860EF" w:rsidRPr="006938D2" w:rsidRDefault="00C46D0A" w:rsidP="00C46D0A">
      <w:pPr>
        <w:spacing w:after="0" w:line="360" w:lineRule="auto"/>
        <w:jc w:val="both"/>
        <w:rPr>
          <w:b/>
          <w:sz w:val="24"/>
          <w:szCs w:val="24"/>
        </w:rPr>
      </w:pPr>
      <w:r w:rsidRPr="006938D2">
        <w:rPr>
          <w:b/>
          <w:sz w:val="24"/>
          <w:szCs w:val="24"/>
        </w:rPr>
        <w:t xml:space="preserve">a) nell'attività di trasmissione, che deve essere svolta da un soggetto qualificato, dotato, in base alla legge, della possibilità giuridica di compiere l'attività stessa, in modo da poter ritenere esistente e individuabile il potere esercitato; </w:t>
      </w:r>
    </w:p>
    <w:p w:rsidR="00C46D0A" w:rsidRPr="006938D2" w:rsidRDefault="00C46D0A" w:rsidP="00C46D0A">
      <w:pPr>
        <w:spacing w:after="0" w:line="360" w:lineRule="auto"/>
        <w:jc w:val="both"/>
        <w:rPr>
          <w:b/>
          <w:sz w:val="24"/>
          <w:szCs w:val="24"/>
        </w:rPr>
      </w:pPr>
      <w:r w:rsidRPr="006938D2">
        <w:rPr>
          <w:b/>
          <w:sz w:val="24"/>
          <w:szCs w:val="24"/>
        </w:rPr>
        <w:t xml:space="preserve">b) nella fase di consegna, intesa in senso lato come raggiungimento di uno qualsiasi degli esiti positivi della notificazione previsti dall'ordinamento, in virtù dei quali, cioè, la stessa debba comunque considerarsi, ex lege, eseguita: restano, pertanto, esclusi soltanto i casi in cui l'atto </w:t>
      </w:r>
      <w:r w:rsidR="005970B5">
        <w:rPr>
          <w:b/>
          <w:sz w:val="24"/>
          <w:szCs w:val="24"/>
        </w:rPr>
        <w:t>sia</w:t>
      </w:r>
      <w:r w:rsidRPr="006938D2">
        <w:rPr>
          <w:b/>
          <w:sz w:val="24"/>
          <w:szCs w:val="24"/>
        </w:rPr>
        <w:t xml:space="preserve"> restituito puramente e semplicemente al mittente, sì da dover reputare la notifica meramente tentata ma non compiuta, cioè, in definitiva, omessa.</w:t>
      </w:r>
    </w:p>
    <w:p w:rsidR="00C46D0A" w:rsidRPr="005970B5" w:rsidRDefault="00C46D0A" w:rsidP="00C46D0A">
      <w:pPr>
        <w:spacing w:after="0" w:line="360" w:lineRule="auto"/>
        <w:jc w:val="both"/>
        <w:rPr>
          <w:b/>
          <w:sz w:val="24"/>
          <w:szCs w:val="24"/>
        </w:rPr>
      </w:pPr>
      <w:r w:rsidRPr="005970B5">
        <w:rPr>
          <w:b/>
          <w:sz w:val="24"/>
          <w:szCs w:val="24"/>
        </w:rPr>
        <w:t>La presenza di detti requisiti, che possono definirsi strutturali, va ritenuta idonea ai fini della riconoscibilità dell'atto come notificazione: essi, cioè, sono sufficienti a integrare la fattispecie legale minima della notificazione, rendendo qualificabile l'attività svolta come atto appartenente al tipo previsto dalla legge.</w:t>
      </w:r>
    </w:p>
    <w:p w:rsidR="00C46D0A" w:rsidRPr="00C46D0A" w:rsidRDefault="00C46D0A" w:rsidP="00C46D0A">
      <w:pPr>
        <w:spacing w:after="0" w:line="360" w:lineRule="auto"/>
        <w:jc w:val="both"/>
        <w:rPr>
          <w:sz w:val="24"/>
          <w:szCs w:val="24"/>
        </w:rPr>
      </w:pPr>
      <w:r w:rsidRPr="00C46D0A">
        <w:rPr>
          <w:sz w:val="24"/>
          <w:szCs w:val="24"/>
        </w:rPr>
        <w:lastRenderedPageBreak/>
        <w:t xml:space="preserve">In conclusione, </w:t>
      </w:r>
      <w:r w:rsidR="00ED34F5">
        <w:rPr>
          <w:sz w:val="24"/>
          <w:szCs w:val="24"/>
        </w:rPr>
        <w:t xml:space="preserve">secondo la citata sentenza della Corte di Cassazione a Sezioni Unite, </w:t>
      </w:r>
      <w:r w:rsidRPr="00C46D0A">
        <w:rPr>
          <w:sz w:val="24"/>
          <w:szCs w:val="24"/>
        </w:rPr>
        <w:t>deve essere superata la tesi che include in tale modello legale, facendone derivare, in sua mancanza, la inesistenza della notificazione, il requisito del "collegamento" (o del "riferimento") tra il luogo della notificazione e il destinatario: si tratta, infatti, di un elemento che si colloca fuori del perimetro strutturale della notificazione e la cui assenza ricade, in base all'insieme delle considerazioni fin qui svolte, nell'ambito della nullità, sanabile con effetto ex tun</w:t>
      </w:r>
      <w:r w:rsidR="00971A4D">
        <w:rPr>
          <w:sz w:val="24"/>
          <w:szCs w:val="24"/>
        </w:rPr>
        <w:t>c</w:t>
      </w:r>
      <w:r w:rsidRPr="00C46D0A">
        <w:rPr>
          <w:sz w:val="24"/>
          <w:szCs w:val="24"/>
        </w:rPr>
        <w:t xml:space="preserve"> attraverso la costituzione dell'intimato o la rinnovazione dell'atto, spontanea o su ordine del giudice.</w:t>
      </w:r>
    </w:p>
    <w:p w:rsidR="00C46D0A" w:rsidRPr="00B32157" w:rsidRDefault="00ED34F5" w:rsidP="00C46D0A">
      <w:pPr>
        <w:spacing w:after="0" w:line="360" w:lineRule="auto"/>
        <w:jc w:val="both"/>
        <w:rPr>
          <w:b/>
          <w:sz w:val="24"/>
          <w:szCs w:val="24"/>
        </w:rPr>
      </w:pPr>
      <w:r w:rsidRPr="00B32157">
        <w:rPr>
          <w:b/>
          <w:sz w:val="24"/>
          <w:szCs w:val="24"/>
        </w:rPr>
        <w:t>La Corte di Cassazione a Sezioni Unite, con la più volte citata sentenza n. 14916/20416</w:t>
      </w:r>
      <w:r w:rsidR="00C46D0A" w:rsidRPr="00B32157">
        <w:rPr>
          <w:b/>
          <w:sz w:val="24"/>
          <w:szCs w:val="24"/>
        </w:rPr>
        <w:t xml:space="preserve">, </w:t>
      </w:r>
      <w:r w:rsidR="00B32157">
        <w:rPr>
          <w:b/>
          <w:sz w:val="24"/>
          <w:szCs w:val="24"/>
        </w:rPr>
        <w:t>ha</w:t>
      </w:r>
      <w:r w:rsidRPr="00B32157">
        <w:rPr>
          <w:b/>
          <w:sz w:val="24"/>
          <w:szCs w:val="24"/>
        </w:rPr>
        <w:t>,</w:t>
      </w:r>
      <w:r w:rsidR="00B32157">
        <w:rPr>
          <w:b/>
          <w:sz w:val="24"/>
          <w:szCs w:val="24"/>
        </w:rPr>
        <w:t xml:space="preserve"> </w:t>
      </w:r>
      <w:r w:rsidR="00C46D0A" w:rsidRPr="00B32157">
        <w:rPr>
          <w:b/>
          <w:sz w:val="24"/>
          <w:szCs w:val="24"/>
        </w:rPr>
        <w:t>pertanto, enunciat</w:t>
      </w:r>
      <w:r w:rsidRPr="00B32157">
        <w:rPr>
          <w:b/>
          <w:sz w:val="24"/>
          <w:szCs w:val="24"/>
        </w:rPr>
        <w:t>o</w:t>
      </w:r>
      <w:r w:rsidR="00C46D0A" w:rsidRPr="00B32157">
        <w:rPr>
          <w:b/>
          <w:sz w:val="24"/>
          <w:szCs w:val="24"/>
        </w:rPr>
        <w:t xml:space="preserve"> i seguenti principi di diritto:</w:t>
      </w:r>
    </w:p>
    <w:p w:rsidR="00B32157" w:rsidRPr="004846A9" w:rsidRDefault="006B6A6A" w:rsidP="006B6A6A">
      <w:pPr>
        <w:pStyle w:val="Paragrafoelenco"/>
        <w:spacing w:after="0" w:line="360" w:lineRule="auto"/>
        <w:ind w:left="0"/>
        <w:jc w:val="both"/>
        <w:rPr>
          <w:b/>
          <w:sz w:val="24"/>
          <w:szCs w:val="24"/>
        </w:rPr>
      </w:pPr>
      <w:r>
        <w:rPr>
          <w:b/>
          <w:sz w:val="24"/>
          <w:szCs w:val="24"/>
        </w:rPr>
        <w:t xml:space="preserve">1. </w:t>
      </w:r>
      <w:r w:rsidR="00C46D0A" w:rsidRPr="004846A9">
        <w:rPr>
          <w:b/>
          <w:sz w:val="24"/>
          <w:szCs w:val="24"/>
        </w:rPr>
        <w:t xml:space="preserve">&lt;L'inesistenza della notificazione del ricorso per cassazione configurabile, in base ai principi di strumentalità delle forme degli atti processuali e del giusto processo, oltre che in caso di totale mancanza materiale dell'atto, nelle sole ipotesi in cui venga posta in essere un'attività priva degli elementi costitutivi essenziali idonei a rendere riconoscibile un atto qualificabile come notificazione, ricadendo ogni altra ipotesi di difformità dal modello legale nella categoria della nullità. </w:t>
      </w:r>
    </w:p>
    <w:p w:rsidR="00971A4D" w:rsidRPr="00B32157" w:rsidRDefault="00C46D0A" w:rsidP="00C46D0A">
      <w:pPr>
        <w:spacing w:after="0" w:line="360" w:lineRule="auto"/>
        <w:jc w:val="both"/>
        <w:rPr>
          <w:b/>
          <w:sz w:val="24"/>
          <w:szCs w:val="24"/>
        </w:rPr>
      </w:pPr>
      <w:r w:rsidRPr="00B32157">
        <w:rPr>
          <w:b/>
          <w:sz w:val="24"/>
          <w:szCs w:val="24"/>
        </w:rPr>
        <w:t xml:space="preserve">Tali elementi consistono: </w:t>
      </w:r>
    </w:p>
    <w:p w:rsidR="00971A4D" w:rsidRPr="00B32157" w:rsidRDefault="00C46D0A" w:rsidP="00C46D0A">
      <w:pPr>
        <w:spacing w:after="0" w:line="360" w:lineRule="auto"/>
        <w:jc w:val="both"/>
        <w:rPr>
          <w:b/>
          <w:sz w:val="24"/>
          <w:szCs w:val="24"/>
        </w:rPr>
      </w:pPr>
      <w:r w:rsidRPr="00B32157">
        <w:rPr>
          <w:b/>
          <w:sz w:val="24"/>
          <w:szCs w:val="24"/>
        </w:rPr>
        <w:t>a) nell'attività di trasmissione, svolta da un soggetto qualificato, dotato, in base alla legge, della possibilità giuridica di compiere detta attività, in modo da poter ritenere esistente e</w:t>
      </w:r>
      <w:r w:rsidR="00B32157">
        <w:rPr>
          <w:b/>
          <w:sz w:val="24"/>
          <w:szCs w:val="24"/>
        </w:rPr>
        <w:t>d</w:t>
      </w:r>
      <w:r w:rsidRPr="00B32157">
        <w:rPr>
          <w:b/>
          <w:sz w:val="24"/>
          <w:szCs w:val="24"/>
        </w:rPr>
        <w:t xml:space="preserve"> individuabile il potere esercitato; </w:t>
      </w:r>
    </w:p>
    <w:p w:rsidR="00C46D0A" w:rsidRPr="00B32157" w:rsidRDefault="00C46D0A" w:rsidP="00C46D0A">
      <w:pPr>
        <w:spacing w:after="0" w:line="360" w:lineRule="auto"/>
        <w:jc w:val="both"/>
        <w:rPr>
          <w:b/>
          <w:sz w:val="24"/>
          <w:szCs w:val="24"/>
        </w:rPr>
      </w:pPr>
      <w:r w:rsidRPr="00B32157">
        <w:rPr>
          <w:b/>
          <w:sz w:val="24"/>
          <w:szCs w:val="24"/>
        </w:rPr>
        <w:t>b) nella fase di consegna, intesa in senso lato come raggiungimento di uno qualsiasi degli esiti positivi della notificazione previsti dall'ordinamento (in virtù dei quali, cioè, la stessa debba comunque considerarsi, ex lege, eseguita), restando, pertanto, esclusi soltanto i casi in cui l'atto venga restituito puramente e semplicemente al mittente, sì da dover reputare la notificazione meramente tentata ma non compiut</w:t>
      </w:r>
      <w:r w:rsidR="004846A9">
        <w:rPr>
          <w:b/>
          <w:sz w:val="24"/>
          <w:szCs w:val="24"/>
        </w:rPr>
        <w:t>a, cioè, in definitiva, omessa›.</w:t>
      </w:r>
    </w:p>
    <w:p w:rsidR="00C46D0A" w:rsidRDefault="004846A9" w:rsidP="00C46D0A">
      <w:pPr>
        <w:spacing w:after="0" w:line="360" w:lineRule="auto"/>
        <w:jc w:val="both"/>
        <w:rPr>
          <w:b/>
          <w:sz w:val="24"/>
          <w:szCs w:val="24"/>
        </w:rPr>
      </w:pPr>
      <w:r>
        <w:rPr>
          <w:b/>
          <w:sz w:val="24"/>
          <w:szCs w:val="24"/>
        </w:rPr>
        <w:t>2.</w:t>
      </w:r>
      <w:r w:rsidR="00971A4D" w:rsidRPr="00B32157">
        <w:rPr>
          <w:b/>
          <w:sz w:val="24"/>
          <w:szCs w:val="24"/>
        </w:rPr>
        <w:t xml:space="preserve"> </w:t>
      </w:r>
      <w:r w:rsidR="00C46D0A" w:rsidRPr="00B32157">
        <w:rPr>
          <w:b/>
          <w:sz w:val="24"/>
          <w:szCs w:val="24"/>
        </w:rPr>
        <w:t>&lt;Il luogo in cui la notificazione del ricorso per cassazione viene eseguita non attiene agli elementi costitutivi essenziali dell'atto. Ne consegue che i vizi relativi alla individuazione di detto luogo, anche qualora esso si riveli privo di alcun collegamento col destinatario, ricadono sempre nell'ambito della nullità dell'atto, come tale sanabile, con efficacia ex tunc, o per raggiungimento dello scopo, a seguito della costituzione della parte intima</w:t>
      </w:r>
      <w:r w:rsidR="00B32157">
        <w:rPr>
          <w:b/>
          <w:sz w:val="24"/>
          <w:szCs w:val="24"/>
        </w:rPr>
        <w:t>t</w:t>
      </w:r>
      <w:r w:rsidR="00C46D0A" w:rsidRPr="00B32157">
        <w:rPr>
          <w:b/>
          <w:sz w:val="24"/>
          <w:szCs w:val="24"/>
        </w:rPr>
        <w:t>a (anche se compiuta al solo fine di eccepire la nullità), o in conseguenza della rinnovazione della notificazione, effettuata spontaneamente dalla parte stessa oppure su ordine del giudice ai sensi dell'art. 291 cod. proc. civ.›.</w:t>
      </w:r>
    </w:p>
    <w:p w:rsidR="004846A9" w:rsidRDefault="004846A9" w:rsidP="00C46D0A">
      <w:pPr>
        <w:spacing w:after="0" w:line="360" w:lineRule="auto"/>
        <w:jc w:val="both"/>
        <w:rPr>
          <w:b/>
          <w:sz w:val="24"/>
          <w:szCs w:val="24"/>
        </w:rPr>
      </w:pPr>
      <w:r w:rsidRPr="004846A9">
        <w:rPr>
          <w:b/>
          <w:sz w:val="24"/>
          <w:szCs w:val="24"/>
        </w:rPr>
        <w:lastRenderedPageBreak/>
        <w:t>Il difensore del contribuente, nel redigere e notificare il ricorso per Cassazione, deve sempre tenere presente i suddetti principi di diritto chiaramente esposti nella più volte citata sentenza della Corte di Cassazione, a Sezioni Unite, n. 14916 del 15 dicembre 2015, depositata in cancelleria il 20 luglio 2016.</w:t>
      </w:r>
    </w:p>
    <w:p w:rsidR="004846A9" w:rsidRDefault="004846A9" w:rsidP="00C46D0A">
      <w:pPr>
        <w:spacing w:after="0" w:line="360" w:lineRule="auto"/>
        <w:jc w:val="both"/>
        <w:rPr>
          <w:b/>
          <w:sz w:val="24"/>
          <w:szCs w:val="24"/>
        </w:rPr>
      </w:pPr>
      <w:r>
        <w:rPr>
          <w:b/>
          <w:sz w:val="24"/>
          <w:szCs w:val="24"/>
        </w:rPr>
        <w:t>Lecce, 23 luglio 2016</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Avv. Maurizio Villani</w:t>
      </w:r>
    </w:p>
    <w:p w:rsidR="004846A9" w:rsidRDefault="004846A9" w:rsidP="00C46D0A">
      <w:pPr>
        <w:spacing w:after="0" w:line="360" w:lineRule="auto"/>
        <w:jc w:val="both"/>
        <w:rPr>
          <w:b/>
          <w:sz w:val="24"/>
          <w:szCs w:val="24"/>
        </w:rPr>
      </w:pPr>
    </w:p>
    <w:p w:rsidR="004846A9" w:rsidRDefault="004846A9" w:rsidP="00C46D0A">
      <w:pPr>
        <w:spacing w:after="0" w:line="360" w:lineRule="auto"/>
        <w:jc w:val="both"/>
        <w:rPr>
          <w:b/>
          <w:sz w:val="24"/>
          <w:szCs w:val="24"/>
        </w:rPr>
      </w:pPr>
    </w:p>
    <w:p w:rsidR="004846A9" w:rsidRPr="004846A9" w:rsidRDefault="004846A9" w:rsidP="004846A9">
      <w:pPr>
        <w:spacing w:after="0" w:line="360" w:lineRule="auto"/>
        <w:jc w:val="center"/>
        <w:rPr>
          <w:b/>
          <w:bCs/>
          <w:sz w:val="24"/>
          <w:szCs w:val="24"/>
        </w:rPr>
      </w:pPr>
      <w:r w:rsidRPr="004846A9">
        <w:rPr>
          <w:b/>
          <w:bCs/>
          <w:sz w:val="24"/>
          <w:szCs w:val="24"/>
        </w:rPr>
        <w:t>AVV. MAURIZIO VILLANI</w:t>
      </w:r>
    </w:p>
    <w:p w:rsidR="004846A9" w:rsidRPr="004846A9" w:rsidRDefault="004846A9" w:rsidP="004846A9">
      <w:pPr>
        <w:spacing w:after="0" w:line="360" w:lineRule="auto"/>
        <w:jc w:val="center"/>
        <w:rPr>
          <w:b/>
          <w:bCs/>
          <w:sz w:val="24"/>
          <w:szCs w:val="24"/>
        </w:rPr>
      </w:pPr>
      <w:r w:rsidRPr="004846A9">
        <w:rPr>
          <w:b/>
          <w:bCs/>
          <w:sz w:val="24"/>
          <w:szCs w:val="24"/>
        </w:rPr>
        <w:t>Avvocato Tributarista in Lecce</w:t>
      </w:r>
    </w:p>
    <w:p w:rsidR="004846A9" w:rsidRPr="004846A9" w:rsidRDefault="004846A9" w:rsidP="004846A9">
      <w:pPr>
        <w:spacing w:after="0" w:line="360" w:lineRule="auto"/>
        <w:jc w:val="center"/>
        <w:rPr>
          <w:b/>
          <w:sz w:val="24"/>
          <w:szCs w:val="24"/>
        </w:rPr>
      </w:pPr>
      <w:r>
        <w:rPr>
          <w:b/>
          <w:sz w:val="24"/>
          <w:szCs w:val="24"/>
        </w:rPr>
        <w:t>P</w:t>
      </w:r>
      <w:r w:rsidRPr="004846A9">
        <w:rPr>
          <w:b/>
          <w:sz w:val="24"/>
          <w:szCs w:val="24"/>
        </w:rPr>
        <w:t>atrocinante in Cassazione</w:t>
      </w:r>
    </w:p>
    <w:p w:rsidR="004846A9" w:rsidRPr="004846A9" w:rsidRDefault="00DA47DA" w:rsidP="004846A9">
      <w:pPr>
        <w:spacing w:after="0" w:line="360" w:lineRule="auto"/>
        <w:jc w:val="center"/>
        <w:rPr>
          <w:b/>
          <w:bCs/>
          <w:sz w:val="24"/>
          <w:szCs w:val="24"/>
        </w:rPr>
      </w:pPr>
      <w:hyperlink r:id="rId7" w:history="1">
        <w:r w:rsidR="004846A9" w:rsidRPr="004846A9">
          <w:rPr>
            <w:rStyle w:val="Collegamentoipertestuale"/>
            <w:b/>
            <w:bCs/>
            <w:sz w:val="24"/>
            <w:szCs w:val="24"/>
          </w:rPr>
          <w:t>www.studiotributariovillani.it</w:t>
        </w:r>
      </w:hyperlink>
      <w:r w:rsidR="004846A9" w:rsidRPr="004846A9">
        <w:rPr>
          <w:b/>
          <w:bCs/>
          <w:sz w:val="24"/>
          <w:szCs w:val="24"/>
        </w:rPr>
        <w:t xml:space="preserve"> - e-mail </w:t>
      </w:r>
      <w:hyperlink r:id="rId8" w:history="1">
        <w:r w:rsidR="004846A9" w:rsidRPr="004846A9">
          <w:rPr>
            <w:rStyle w:val="Collegamentoipertestuale"/>
            <w:b/>
            <w:bCs/>
            <w:sz w:val="24"/>
            <w:szCs w:val="24"/>
          </w:rPr>
          <w:t>avvocato@studiotributariovillani.it</w:t>
        </w:r>
      </w:hyperlink>
    </w:p>
    <w:p w:rsidR="004846A9" w:rsidRPr="004846A9" w:rsidRDefault="004846A9" w:rsidP="004846A9">
      <w:pPr>
        <w:spacing w:after="0" w:line="360" w:lineRule="auto"/>
        <w:jc w:val="center"/>
        <w:rPr>
          <w:b/>
          <w:sz w:val="24"/>
          <w:szCs w:val="24"/>
        </w:rPr>
      </w:pPr>
    </w:p>
    <w:p w:rsidR="004846A9" w:rsidRDefault="004846A9" w:rsidP="004846A9">
      <w:pPr>
        <w:spacing w:after="0" w:line="360" w:lineRule="auto"/>
        <w:jc w:val="center"/>
        <w:rPr>
          <w:b/>
          <w:sz w:val="24"/>
          <w:szCs w:val="24"/>
        </w:rPr>
      </w:pPr>
    </w:p>
    <w:p w:rsidR="004846A9" w:rsidRPr="004846A9" w:rsidRDefault="004846A9" w:rsidP="00C46D0A">
      <w:pPr>
        <w:spacing w:after="0" w:line="360" w:lineRule="auto"/>
        <w:jc w:val="both"/>
        <w:rPr>
          <w:b/>
          <w:sz w:val="24"/>
          <w:szCs w:val="24"/>
        </w:rPr>
      </w:pPr>
    </w:p>
    <w:sectPr w:rsidR="004846A9" w:rsidRPr="004846A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DA" w:rsidRDefault="00DA47DA" w:rsidP="0085709D">
      <w:pPr>
        <w:spacing w:after="0" w:line="240" w:lineRule="auto"/>
      </w:pPr>
      <w:r>
        <w:separator/>
      </w:r>
    </w:p>
  </w:endnote>
  <w:endnote w:type="continuationSeparator" w:id="0">
    <w:p w:rsidR="00DA47DA" w:rsidRDefault="00DA47DA" w:rsidP="0085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900086"/>
      <w:docPartObj>
        <w:docPartGallery w:val="Page Numbers (Bottom of Page)"/>
        <w:docPartUnique/>
      </w:docPartObj>
    </w:sdtPr>
    <w:sdtEndPr/>
    <w:sdtContent>
      <w:p w:rsidR="0085709D" w:rsidRDefault="0085709D">
        <w:pPr>
          <w:pStyle w:val="Pidipagina"/>
          <w:jc w:val="right"/>
        </w:pPr>
        <w:r>
          <w:fldChar w:fldCharType="begin"/>
        </w:r>
        <w:r>
          <w:instrText>PAGE   \* MERGEFORMAT</w:instrText>
        </w:r>
        <w:r>
          <w:fldChar w:fldCharType="separate"/>
        </w:r>
        <w:r w:rsidR="00012FD6">
          <w:rPr>
            <w:noProof/>
          </w:rPr>
          <w:t>1</w:t>
        </w:r>
        <w:r>
          <w:fldChar w:fldCharType="end"/>
        </w:r>
      </w:p>
    </w:sdtContent>
  </w:sdt>
  <w:p w:rsidR="0085709D" w:rsidRDefault="008570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DA" w:rsidRDefault="00DA47DA" w:rsidP="0085709D">
      <w:pPr>
        <w:spacing w:after="0" w:line="240" w:lineRule="auto"/>
      </w:pPr>
      <w:r>
        <w:separator/>
      </w:r>
    </w:p>
  </w:footnote>
  <w:footnote w:type="continuationSeparator" w:id="0">
    <w:p w:rsidR="00DA47DA" w:rsidRDefault="00DA47DA" w:rsidP="00857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8946D"/>
    <w:multiLevelType w:val="singleLevel"/>
    <w:tmpl w:val="2131F37C"/>
    <w:lvl w:ilvl="0">
      <w:start w:val="1"/>
      <w:numFmt w:val="upperLetter"/>
      <w:lvlText w:val="%1)"/>
      <w:lvlJc w:val="left"/>
      <w:pPr>
        <w:tabs>
          <w:tab w:val="num" w:pos="360"/>
        </w:tabs>
        <w:ind w:left="72" w:firstLine="288"/>
      </w:pPr>
      <w:rPr>
        <w:snapToGrid/>
        <w:spacing w:val="-2"/>
        <w:sz w:val="24"/>
        <w:szCs w:val="24"/>
      </w:rPr>
    </w:lvl>
  </w:abstractNum>
  <w:abstractNum w:abstractNumId="1">
    <w:nsid w:val="751166DD"/>
    <w:multiLevelType w:val="hybridMultilevel"/>
    <w:tmpl w:val="164234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0"/>
    <w:lvlOverride w:ilvl="0">
      <w:lvl w:ilvl="0">
        <w:numFmt w:val="upperLetter"/>
        <w:lvlText w:val="%1)"/>
        <w:lvlJc w:val="left"/>
        <w:pPr>
          <w:tabs>
            <w:tab w:val="num" w:pos="504"/>
          </w:tabs>
          <w:ind w:left="72" w:firstLine="288"/>
        </w:pPr>
        <w:rPr>
          <w:snapToGrid/>
          <w:spacing w:val="10"/>
          <w:sz w:val="24"/>
          <w:szCs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A"/>
    <w:rsid w:val="00001DF3"/>
    <w:rsid w:val="00012FD6"/>
    <w:rsid w:val="000569EF"/>
    <w:rsid w:val="00107793"/>
    <w:rsid w:val="00242827"/>
    <w:rsid w:val="003176BD"/>
    <w:rsid w:val="00467778"/>
    <w:rsid w:val="004846A9"/>
    <w:rsid w:val="005970B5"/>
    <w:rsid w:val="005E1CAB"/>
    <w:rsid w:val="005F447C"/>
    <w:rsid w:val="00665067"/>
    <w:rsid w:val="00672122"/>
    <w:rsid w:val="006938D2"/>
    <w:rsid w:val="006B60CF"/>
    <w:rsid w:val="006B6A6A"/>
    <w:rsid w:val="0084307E"/>
    <w:rsid w:val="00852CD8"/>
    <w:rsid w:val="0085709D"/>
    <w:rsid w:val="00867D0F"/>
    <w:rsid w:val="0089272C"/>
    <w:rsid w:val="00912351"/>
    <w:rsid w:val="00937397"/>
    <w:rsid w:val="00971A4D"/>
    <w:rsid w:val="009860EF"/>
    <w:rsid w:val="009B4922"/>
    <w:rsid w:val="00AA4F2D"/>
    <w:rsid w:val="00B32157"/>
    <w:rsid w:val="00C46D0A"/>
    <w:rsid w:val="00C55261"/>
    <w:rsid w:val="00D66D46"/>
    <w:rsid w:val="00D976E5"/>
    <w:rsid w:val="00DA47DA"/>
    <w:rsid w:val="00EA55A2"/>
    <w:rsid w:val="00ED34F5"/>
    <w:rsid w:val="00F167FB"/>
    <w:rsid w:val="00F44E1B"/>
    <w:rsid w:val="00FE7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03325-4044-4A90-9285-70703BEE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709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709D"/>
  </w:style>
  <w:style w:type="paragraph" w:styleId="Pidipagina">
    <w:name w:val="footer"/>
    <w:basedOn w:val="Normale"/>
    <w:link w:val="PidipaginaCarattere"/>
    <w:uiPriority w:val="99"/>
    <w:unhideWhenUsed/>
    <w:rsid w:val="0085709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709D"/>
  </w:style>
  <w:style w:type="paragraph" w:styleId="Paragrafoelenco">
    <w:name w:val="List Paragraph"/>
    <w:basedOn w:val="Normale"/>
    <w:uiPriority w:val="34"/>
    <w:qFormat/>
    <w:rsid w:val="00001DF3"/>
    <w:pPr>
      <w:ind w:left="720"/>
      <w:contextualSpacing/>
    </w:pPr>
  </w:style>
  <w:style w:type="character" w:styleId="Collegamentoipertestuale">
    <w:name w:val="Hyperlink"/>
    <w:basedOn w:val="Carpredefinitoparagrafo"/>
    <w:uiPriority w:val="99"/>
    <w:unhideWhenUsed/>
    <w:rsid w:val="00484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2574</Words>
  <Characters>14672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User</cp:lastModifiedBy>
  <cp:revision>2</cp:revision>
  <dcterms:created xsi:type="dcterms:W3CDTF">2016-07-25T08:04:00Z</dcterms:created>
  <dcterms:modified xsi:type="dcterms:W3CDTF">2016-07-25T08:04:00Z</dcterms:modified>
</cp:coreProperties>
</file>