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11" w:rsidRDefault="00223E11" w:rsidP="00223E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ACCESSO IN ABITAZIONI PRIVATE FINALIZZATO ALLA VERIFICA DEI REQUISITI PER L’AGEVOLAZIONE “PRIMA CASA”</w:t>
      </w:r>
    </w:p>
    <w:p w:rsidR="00D15A30" w:rsidRDefault="008979BF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BF">
        <w:rPr>
          <w:rFonts w:ascii="Times New Roman" w:hAnsi="Times New Roman" w:cs="Times New Roman"/>
          <w:sz w:val="28"/>
          <w:szCs w:val="28"/>
        </w:rPr>
        <w:t xml:space="preserve">In dottrina è comune l'osservazione secondo cui le disposizioni contenute nell'art. 53 </w:t>
      </w:r>
      <w:r w:rsidRPr="008979BF">
        <w:rPr>
          <w:rFonts w:ascii="Times New Roman" w:hAnsi="Times New Roman" w:cs="Times New Roman"/>
          <w:iCs/>
          <w:sz w:val="28"/>
          <w:szCs w:val="28"/>
        </w:rPr>
        <w:t>bis</w:t>
      </w:r>
      <w:r w:rsidRPr="00897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D.P.R.</w:t>
      </w:r>
      <w:r w:rsidR="00D15A30">
        <w:rPr>
          <w:rFonts w:ascii="Times New Roman" w:hAnsi="Times New Roman" w:cs="Times New Roman"/>
          <w:sz w:val="28"/>
          <w:szCs w:val="28"/>
        </w:rPr>
        <w:t xml:space="preserve"> n. 131/1986</w:t>
      </w:r>
      <w:r w:rsidRPr="008979BF">
        <w:rPr>
          <w:rFonts w:ascii="Times New Roman" w:hAnsi="Times New Roman" w:cs="Times New Roman"/>
          <w:sz w:val="28"/>
          <w:szCs w:val="28"/>
        </w:rPr>
        <w:t xml:space="preserve"> siano di difficile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979BF">
        <w:rPr>
          <w:rFonts w:ascii="Times New Roman" w:hAnsi="Times New Roman" w:cs="Times New Roman"/>
          <w:sz w:val="28"/>
          <w:szCs w:val="28"/>
        </w:rPr>
        <w:t xml:space="preserve">nterpretazione. </w:t>
      </w:r>
    </w:p>
    <w:p w:rsidR="001F40A3" w:rsidRDefault="00D15A30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8979BF" w:rsidRPr="008979BF">
        <w:rPr>
          <w:rFonts w:ascii="Times New Roman" w:hAnsi="Times New Roman" w:cs="Times New Roman"/>
          <w:sz w:val="28"/>
          <w:szCs w:val="28"/>
        </w:rPr>
        <w:t>uesto perché la disciplina degli accessi dedicata all'accertamento dell'IVA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contenuta nell'art. 52 </w:t>
      </w:r>
      <w:r w:rsidR="00CE6149">
        <w:rPr>
          <w:rFonts w:ascii="Times New Roman" w:hAnsi="Times New Roman" w:cs="Times New Roman"/>
          <w:sz w:val="28"/>
          <w:szCs w:val="28"/>
        </w:rPr>
        <w:t xml:space="preserve">D.P.R. </w:t>
      </w:r>
      <w:r>
        <w:rPr>
          <w:rFonts w:ascii="Times New Roman" w:hAnsi="Times New Roman" w:cs="Times New Roman"/>
          <w:sz w:val="28"/>
          <w:szCs w:val="28"/>
        </w:rPr>
        <w:t>n. 633/1972 e successive modifiche ed integrazioni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, cui finisce per rimandare il doppio rinvio </w:t>
      </w:r>
      <w:r w:rsidR="008979BF" w:rsidRPr="00CE6149">
        <w:rPr>
          <w:rFonts w:ascii="Times New Roman" w:hAnsi="Times New Roman" w:cs="Times New Roman"/>
          <w:iCs/>
          <w:sz w:val="28"/>
          <w:szCs w:val="28"/>
        </w:rPr>
        <w:t>ex</w:t>
      </w:r>
      <w:r w:rsidR="008979BF" w:rsidRPr="00897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art. 53 </w:t>
      </w:r>
      <w:r w:rsidR="008979BF" w:rsidRPr="00CE6149">
        <w:rPr>
          <w:rFonts w:ascii="Times New Roman" w:hAnsi="Times New Roman" w:cs="Times New Roman"/>
          <w:iCs/>
          <w:sz w:val="28"/>
          <w:szCs w:val="28"/>
        </w:rPr>
        <w:t>bis</w:t>
      </w:r>
      <w:r w:rsidR="008979BF" w:rsidRPr="00897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6149">
        <w:rPr>
          <w:rFonts w:ascii="Times New Roman" w:hAnsi="Times New Roman" w:cs="Times New Roman"/>
          <w:sz w:val="28"/>
          <w:szCs w:val="28"/>
        </w:rPr>
        <w:t>D.P.R.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n. 131 cit. e 33, comma 1, </w:t>
      </w:r>
      <w:r w:rsidR="00CE6149">
        <w:rPr>
          <w:rFonts w:ascii="Times New Roman" w:hAnsi="Times New Roman" w:cs="Times New Roman"/>
          <w:sz w:val="28"/>
          <w:szCs w:val="28"/>
        </w:rPr>
        <w:t>D.P.R.</w:t>
      </w:r>
      <w:r>
        <w:rPr>
          <w:rFonts w:ascii="Times New Roman" w:hAnsi="Times New Roman" w:cs="Times New Roman"/>
          <w:sz w:val="28"/>
          <w:szCs w:val="28"/>
        </w:rPr>
        <w:t xml:space="preserve"> n. 600/</w:t>
      </w:r>
      <w:r w:rsidR="003C669F">
        <w:rPr>
          <w:rFonts w:ascii="Times New Roman" w:hAnsi="Times New Roman" w:cs="Times New Roman"/>
          <w:sz w:val="28"/>
          <w:szCs w:val="28"/>
        </w:rPr>
        <w:t>1973 e successive modifiche e</w:t>
      </w:r>
      <w:r w:rsidR="007F2BEF">
        <w:rPr>
          <w:rFonts w:ascii="Times New Roman" w:hAnsi="Times New Roman" w:cs="Times New Roman"/>
          <w:sz w:val="28"/>
          <w:szCs w:val="28"/>
        </w:rPr>
        <w:t>d</w:t>
      </w:r>
      <w:r w:rsidR="003C669F">
        <w:rPr>
          <w:rFonts w:ascii="Times New Roman" w:hAnsi="Times New Roman" w:cs="Times New Roman"/>
          <w:sz w:val="28"/>
          <w:szCs w:val="28"/>
        </w:rPr>
        <w:t xml:space="preserve"> integrazioni</w:t>
      </w:r>
      <w:r w:rsidR="008979BF" w:rsidRPr="008979BF">
        <w:rPr>
          <w:rFonts w:ascii="Times New Roman" w:hAnsi="Times New Roman" w:cs="Times New Roman"/>
          <w:sz w:val="28"/>
          <w:szCs w:val="28"/>
        </w:rPr>
        <w:t>, non si presenta all'evidenza del tutto compatibile con la di</w:t>
      </w:r>
      <w:r w:rsidR="00CE6149">
        <w:rPr>
          <w:rFonts w:ascii="Times New Roman" w:hAnsi="Times New Roman" w:cs="Times New Roman"/>
          <w:sz w:val="28"/>
          <w:szCs w:val="28"/>
        </w:rPr>
        <w:t>sciplina dell'accertamento dell’i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mposta di registro. </w:t>
      </w:r>
    </w:p>
    <w:p w:rsidR="00CE6149" w:rsidRDefault="001F40A3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979BF" w:rsidRPr="008979BF">
        <w:rPr>
          <w:rFonts w:ascii="Times New Roman" w:hAnsi="Times New Roman" w:cs="Times New Roman"/>
          <w:sz w:val="28"/>
          <w:szCs w:val="28"/>
        </w:rPr>
        <w:t>n particolare, perché soggetti all'imposta di registro non sono sempre e soltanto imprenditori e professionisti cui specificatamente si rivolge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invece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la disciplina degli accessi contenuta </w:t>
      </w:r>
      <w:r w:rsidR="00CE6149">
        <w:rPr>
          <w:rFonts w:ascii="Times New Roman" w:hAnsi="Times New Roman" w:cs="Times New Roman"/>
          <w:sz w:val="28"/>
          <w:szCs w:val="28"/>
        </w:rPr>
        <w:t>nell’art.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52 </w:t>
      </w:r>
      <w:r w:rsidR="00CE6149">
        <w:rPr>
          <w:rFonts w:ascii="Times New Roman" w:hAnsi="Times New Roman" w:cs="Times New Roman"/>
          <w:sz w:val="28"/>
          <w:szCs w:val="28"/>
        </w:rPr>
        <w:t>D.P.R.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n. 633 cit.</w:t>
      </w:r>
      <w:r w:rsidR="00CE6149">
        <w:rPr>
          <w:rFonts w:ascii="Times New Roman" w:hAnsi="Times New Roman" w:cs="Times New Roman"/>
          <w:sz w:val="28"/>
          <w:szCs w:val="28"/>
        </w:rPr>
        <w:t>.</w:t>
      </w:r>
    </w:p>
    <w:p w:rsidR="001F40A3" w:rsidRDefault="008979BF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BF">
        <w:rPr>
          <w:rFonts w:ascii="Times New Roman" w:hAnsi="Times New Roman" w:cs="Times New Roman"/>
          <w:sz w:val="28"/>
          <w:szCs w:val="28"/>
        </w:rPr>
        <w:t xml:space="preserve">Sono quindi pensabili due antitetiche soluzioni. </w:t>
      </w:r>
    </w:p>
    <w:p w:rsidR="001F40A3" w:rsidRDefault="001F40A3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itenere possibili gli accessi predisposti all'accertamento dell'imposta di registro, soltanto nei confronti di imprese e professionisti aventi partita IVA, come in effetti sostenuto al 2.2, </w:t>
      </w:r>
      <w:r w:rsidR="00CE6149">
        <w:rPr>
          <w:rFonts w:ascii="Times New Roman" w:hAnsi="Times New Roman" w:cs="Times New Roman"/>
          <w:sz w:val="28"/>
          <w:szCs w:val="28"/>
        </w:rPr>
        <w:t>circolare ministeriale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6 febbraio </w:t>
      </w:r>
      <w:r w:rsidR="00CE6149">
        <w:rPr>
          <w:rFonts w:ascii="Times New Roman" w:hAnsi="Times New Roman" w:cs="Times New Roman"/>
          <w:sz w:val="28"/>
          <w:szCs w:val="28"/>
        </w:rPr>
        <w:t>2007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n. 6/E.</w:t>
      </w:r>
    </w:p>
    <w:p w:rsidR="008979BF" w:rsidRPr="008979BF" w:rsidRDefault="008979BF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BF">
        <w:rPr>
          <w:rFonts w:ascii="Times New Roman" w:hAnsi="Times New Roman" w:cs="Times New Roman"/>
          <w:sz w:val="28"/>
          <w:szCs w:val="28"/>
        </w:rPr>
        <w:t xml:space="preserve">Oppure verificare se e in quale misura l'art. 52 </w:t>
      </w:r>
      <w:r w:rsidR="00CE6149">
        <w:rPr>
          <w:rFonts w:ascii="Times New Roman" w:hAnsi="Times New Roman" w:cs="Times New Roman"/>
          <w:sz w:val="28"/>
          <w:szCs w:val="28"/>
        </w:rPr>
        <w:t>D.P.R.</w:t>
      </w:r>
      <w:r w:rsidRPr="008979BF">
        <w:rPr>
          <w:rFonts w:ascii="Times New Roman" w:hAnsi="Times New Roman" w:cs="Times New Roman"/>
          <w:sz w:val="28"/>
          <w:szCs w:val="28"/>
        </w:rPr>
        <w:t xml:space="preserve"> n. 633 cit. contenga disposizioni compatibili con un accesso predisposto all'accertamento dell'imposta di registro nei confronti di chi non è imprenditore o professionista.</w:t>
      </w:r>
    </w:p>
    <w:p w:rsidR="00154EB3" w:rsidRPr="00A30E66" w:rsidRDefault="001F40A3" w:rsidP="008979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E66">
        <w:rPr>
          <w:rFonts w:ascii="Times New Roman" w:hAnsi="Times New Roman" w:cs="Times New Roman"/>
          <w:b/>
          <w:sz w:val="28"/>
          <w:szCs w:val="28"/>
        </w:rPr>
        <w:t>La</w:t>
      </w:r>
      <w:r w:rsidR="008979BF" w:rsidRPr="00A30E66">
        <w:rPr>
          <w:rFonts w:ascii="Times New Roman" w:hAnsi="Times New Roman" w:cs="Times New Roman"/>
          <w:b/>
          <w:sz w:val="28"/>
          <w:szCs w:val="28"/>
        </w:rPr>
        <w:t xml:space="preserve"> Corte</w:t>
      </w:r>
      <w:r w:rsidRPr="00A30E66">
        <w:rPr>
          <w:rFonts w:ascii="Times New Roman" w:hAnsi="Times New Roman" w:cs="Times New Roman"/>
          <w:b/>
          <w:sz w:val="28"/>
          <w:szCs w:val="28"/>
        </w:rPr>
        <w:t xml:space="preserve"> di Cassazione</w:t>
      </w:r>
      <w:r w:rsidR="008979BF" w:rsidRPr="00A30E66">
        <w:rPr>
          <w:rFonts w:ascii="Times New Roman" w:hAnsi="Times New Roman" w:cs="Times New Roman"/>
          <w:b/>
          <w:sz w:val="28"/>
          <w:szCs w:val="28"/>
        </w:rPr>
        <w:t>, che a quanto consta si</w:t>
      </w:r>
      <w:r w:rsidRPr="00A30E66">
        <w:rPr>
          <w:rFonts w:ascii="Times New Roman" w:hAnsi="Times New Roman" w:cs="Times New Roman"/>
          <w:b/>
          <w:sz w:val="28"/>
          <w:szCs w:val="28"/>
        </w:rPr>
        <w:t xml:space="preserve"> è</w:t>
      </w:r>
      <w:r w:rsidR="008979BF" w:rsidRPr="00A30E66">
        <w:rPr>
          <w:rFonts w:ascii="Times New Roman" w:hAnsi="Times New Roman" w:cs="Times New Roman"/>
          <w:b/>
          <w:sz w:val="28"/>
          <w:szCs w:val="28"/>
        </w:rPr>
        <w:t xml:space="preserve"> trova</w:t>
      </w:r>
      <w:r w:rsidRPr="00A30E66">
        <w:rPr>
          <w:rFonts w:ascii="Times New Roman" w:hAnsi="Times New Roman" w:cs="Times New Roman"/>
          <w:b/>
          <w:sz w:val="28"/>
          <w:szCs w:val="28"/>
        </w:rPr>
        <w:t>ta</w:t>
      </w:r>
      <w:r w:rsidR="008979BF" w:rsidRPr="00A30E66">
        <w:rPr>
          <w:rFonts w:ascii="Times New Roman" w:hAnsi="Times New Roman" w:cs="Times New Roman"/>
          <w:b/>
          <w:sz w:val="28"/>
          <w:szCs w:val="28"/>
        </w:rPr>
        <w:t xml:space="preserve"> per la prima volta ad affrontare la delicata questione, ritiene che debba essere innanzitutto valorizzata la chiara intenzione del legislatore di estendere i poteri d</w:t>
      </w:r>
      <w:r w:rsidR="000C2CE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8979BF" w:rsidRPr="00A30E66">
        <w:rPr>
          <w:rFonts w:ascii="Times New Roman" w:hAnsi="Times New Roman" w:cs="Times New Roman"/>
          <w:b/>
          <w:sz w:val="28"/>
          <w:szCs w:val="28"/>
        </w:rPr>
        <w:t>accesso anche nei confronti di chi non è imprenditore o professionista soggetto IVA</w:t>
      </w:r>
      <w:r w:rsidRPr="00A30E66">
        <w:rPr>
          <w:rFonts w:ascii="Times New Roman" w:hAnsi="Times New Roman" w:cs="Times New Roman"/>
          <w:b/>
          <w:sz w:val="28"/>
          <w:szCs w:val="28"/>
        </w:rPr>
        <w:t xml:space="preserve"> (Cassazione – Sez. Tributaria</w:t>
      </w:r>
      <w:r w:rsidR="009C647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30E66">
        <w:rPr>
          <w:rFonts w:ascii="Times New Roman" w:hAnsi="Times New Roman" w:cs="Times New Roman"/>
          <w:b/>
          <w:sz w:val="28"/>
          <w:szCs w:val="28"/>
        </w:rPr>
        <w:t xml:space="preserve"> sentenza n. 13145 depositata il 24 giugno 2016)</w:t>
      </w:r>
      <w:r w:rsidR="008979BF" w:rsidRPr="00A30E6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D78C2" w:rsidRDefault="008979BF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BF">
        <w:rPr>
          <w:rFonts w:ascii="Times New Roman" w:hAnsi="Times New Roman" w:cs="Times New Roman"/>
          <w:sz w:val="28"/>
          <w:szCs w:val="28"/>
        </w:rPr>
        <w:t>Un'intenzione che per</w:t>
      </w:r>
      <w:r w:rsidR="00154EB3">
        <w:rPr>
          <w:rFonts w:ascii="Times New Roman" w:hAnsi="Times New Roman" w:cs="Times New Roman"/>
          <w:sz w:val="28"/>
          <w:szCs w:val="28"/>
        </w:rPr>
        <w:t xml:space="preserve"> esempio</w:t>
      </w:r>
      <w:r w:rsidRPr="008979BF">
        <w:rPr>
          <w:rFonts w:ascii="Times New Roman" w:hAnsi="Times New Roman" w:cs="Times New Roman"/>
          <w:sz w:val="28"/>
          <w:szCs w:val="28"/>
        </w:rPr>
        <w:t xml:space="preserve"> emerge con una qualche certezza dalla considerazione che già l'art. 51, comma 4, </w:t>
      </w:r>
      <w:r w:rsidR="00154EB3">
        <w:rPr>
          <w:rFonts w:ascii="Times New Roman" w:hAnsi="Times New Roman" w:cs="Times New Roman"/>
          <w:sz w:val="28"/>
          <w:szCs w:val="28"/>
        </w:rPr>
        <w:t>D.P.R.</w:t>
      </w:r>
      <w:r w:rsidRPr="008979BF">
        <w:rPr>
          <w:rFonts w:ascii="Times New Roman" w:hAnsi="Times New Roman" w:cs="Times New Roman"/>
          <w:sz w:val="28"/>
          <w:szCs w:val="28"/>
        </w:rPr>
        <w:t xml:space="preserve"> n. 131 cit. ammetteva gli accessi in azienda, con la conseguente illazione secondo cui la aggiuntiva previsione di cui all'art. 53 </w:t>
      </w:r>
      <w:r w:rsidRPr="00154EB3">
        <w:rPr>
          <w:rFonts w:ascii="Times New Roman" w:hAnsi="Times New Roman" w:cs="Times New Roman"/>
          <w:iCs/>
          <w:sz w:val="28"/>
          <w:szCs w:val="28"/>
        </w:rPr>
        <w:t>bis</w:t>
      </w:r>
      <w:r w:rsidRPr="00897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4EB3">
        <w:rPr>
          <w:rFonts w:ascii="Times New Roman" w:hAnsi="Times New Roman" w:cs="Times New Roman"/>
          <w:sz w:val="28"/>
          <w:szCs w:val="28"/>
        </w:rPr>
        <w:t>D.P.R.</w:t>
      </w:r>
      <w:r w:rsidRPr="008979BF">
        <w:rPr>
          <w:rFonts w:ascii="Times New Roman" w:hAnsi="Times New Roman" w:cs="Times New Roman"/>
          <w:sz w:val="28"/>
          <w:szCs w:val="28"/>
        </w:rPr>
        <w:t xml:space="preserve"> </w:t>
      </w:r>
      <w:r w:rsidRPr="008979BF">
        <w:rPr>
          <w:rFonts w:ascii="Times New Roman" w:hAnsi="Times New Roman" w:cs="Times New Roman"/>
          <w:sz w:val="28"/>
          <w:szCs w:val="28"/>
        </w:rPr>
        <w:lastRenderedPageBreak/>
        <w:t xml:space="preserve">n. 131 cit. non </w:t>
      </w:r>
      <w:r w:rsidR="00154EB3">
        <w:rPr>
          <w:rFonts w:ascii="Times New Roman" w:hAnsi="Times New Roman" w:cs="Times New Roman"/>
          <w:sz w:val="28"/>
          <w:szCs w:val="28"/>
        </w:rPr>
        <w:t>può</w:t>
      </w:r>
      <w:r w:rsidRPr="008979BF">
        <w:rPr>
          <w:rFonts w:ascii="Times New Roman" w:hAnsi="Times New Roman" w:cs="Times New Roman"/>
          <w:sz w:val="28"/>
          <w:szCs w:val="28"/>
        </w:rPr>
        <w:t xml:space="preserve"> che essere spiegata con la volontà legislativa di generalizzare il potere di accesso in discussione. </w:t>
      </w:r>
    </w:p>
    <w:p w:rsidR="003679E8" w:rsidRDefault="001D78C2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</w:t>
      </w:r>
      <w:r w:rsidR="008979BF" w:rsidRPr="008979BF">
        <w:rPr>
          <w:rFonts w:ascii="Times New Roman" w:hAnsi="Times New Roman" w:cs="Times New Roman"/>
          <w:sz w:val="28"/>
          <w:szCs w:val="28"/>
        </w:rPr>
        <w:t>al riguardo</w:t>
      </w:r>
      <w:r w:rsidR="00923903">
        <w:rPr>
          <w:rFonts w:ascii="Times New Roman" w:hAnsi="Times New Roman" w:cs="Times New Roman"/>
          <w:sz w:val="28"/>
          <w:szCs w:val="28"/>
        </w:rPr>
        <w:t>,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l'unica disposizione che si presenta compatibile con l'accesso strumentale all'accertamento dell'imposta di registro nei confronti di chi non è soggetto IVA, deve essere rinvenuta nell'art. 52, comma 2, </w:t>
      </w:r>
      <w:r w:rsidR="00154EB3">
        <w:rPr>
          <w:rFonts w:ascii="Times New Roman" w:hAnsi="Times New Roman" w:cs="Times New Roman"/>
          <w:sz w:val="28"/>
          <w:szCs w:val="28"/>
        </w:rPr>
        <w:t>D.P.R.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n. 633 cit. che permette di effettuare accessi anche in private abitazioni «previa autorizzazione del procuratore della Repubblica, soltanto in caso di gravi indizi di </w:t>
      </w:r>
      <w:r w:rsidR="00154EB3">
        <w:rPr>
          <w:rFonts w:ascii="Times New Roman" w:hAnsi="Times New Roman" w:cs="Times New Roman"/>
          <w:sz w:val="28"/>
          <w:szCs w:val="28"/>
        </w:rPr>
        <w:t>violazioni» fiscali.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9BF" w:rsidRPr="008979BF" w:rsidRDefault="008979BF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BF">
        <w:rPr>
          <w:rFonts w:ascii="Times New Roman" w:hAnsi="Times New Roman" w:cs="Times New Roman"/>
          <w:sz w:val="28"/>
          <w:szCs w:val="28"/>
        </w:rPr>
        <w:t>Con riguardo al denunciato vizio motivazionale i contribuenti ritenevano inoltre incoerente il riferimento fatto dalla CTR ai gravi indizi di violazione delle norme fiscali esposti nell'autorizzazione data dalla competente Procura della Repubblica, questo perché i gravi indizi in parola erano so</w:t>
      </w:r>
      <w:r w:rsidR="00D27A94">
        <w:rPr>
          <w:rFonts w:ascii="Times New Roman" w:hAnsi="Times New Roman" w:cs="Times New Roman"/>
          <w:sz w:val="28"/>
          <w:szCs w:val="28"/>
        </w:rPr>
        <w:t>ltanto richiesti dall'art. 52, c</w:t>
      </w:r>
      <w:r w:rsidRPr="008979BF">
        <w:rPr>
          <w:rFonts w:ascii="Times New Roman" w:hAnsi="Times New Roman" w:cs="Times New Roman"/>
          <w:sz w:val="28"/>
          <w:szCs w:val="28"/>
        </w:rPr>
        <w:t xml:space="preserve">omma 2, </w:t>
      </w:r>
      <w:r w:rsidR="00D27A94">
        <w:rPr>
          <w:rFonts w:ascii="Times New Roman" w:hAnsi="Times New Roman" w:cs="Times New Roman"/>
          <w:sz w:val="28"/>
          <w:szCs w:val="28"/>
        </w:rPr>
        <w:t>D.P.R.</w:t>
      </w:r>
      <w:r w:rsidRPr="008979BF">
        <w:rPr>
          <w:rFonts w:ascii="Times New Roman" w:hAnsi="Times New Roman" w:cs="Times New Roman"/>
          <w:sz w:val="28"/>
          <w:szCs w:val="28"/>
        </w:rPr>
        <w:t xml:space="preserve"> n</w:t>
      </w:r>
      <w:r w:rsidR="00D27A94">
        <w:rPr>
          <w:rFonts w:ascii="Times New Roman" w:hAnsi="Times New Roman" w:cs="Times New Roman"/>
          <w:sz w:val="28"/>
          <w:szCs w:val="28"/>
        </w:rPr>
        <w:t>.</w:t>
      </w:r>
      <w:r w:rsidRPr="008979BF">
        <w:rPr>
          <w:rFonts w:ascii="Times New Roman" w:hAnsi="Times New Roman" w:cs="Times New Roman"/>
          <w:sz w:val="28"/>
          <w:szCs w:val="28"/>
        </w:rPr>
        <w:t xml:space="preserve"> 633 cit</w:t>
      </w:r>
      <w:r w:rsidR="00D27A94">
        <w:rPr>
          <w:rFonts w:ascii="Times New Roman" w:hAnsi="Times New Roman" w:cs="Times New Roman"/>
          <w:sz w:val="28"/>
          <w:szCs w:val="28"/>
        </w:rPr>
        <w:t>.</w:t>
      </w:r>
      <w:r w:rsidRPr="008979BF">
        <w:rPr>
          <w:rFonts w:ascii="Times New Roman" w:hAnsi="Times New Roman" w:cs="Times New Roman"/>
          <w:sz w:val="28"/>
          <w:szCs w:val="28"/>
        </w:rPr>
        <w:t xml:space="preserve"> che disciplina l'accesso a «locali» diversi da quelli dove viene svolta l'impresa o la professione  e</w:t>
      </w:r>
      <w:r w:rsidR="003679E8">
        <w:rPr>
          <w:rFonts w:ascii="Times New Roman" w:hAnsi="Times New Roman" w:cs="Times New Roman"/>
          <w:sz w:val="28"/>
          <w:szCs w:val="28"/>
        </w:rPr>
        <w:t>,</w:t>
      </w:r>
      <w:r w:rsidRPr="008979BF">
        <w:rPr>
          <w:rFonts w:ascii="Times New Roman" w:hAnsi="Times New Roman" w:cs="Times New Roman"/>
          <w:sz w:val="28"/>
          <w:szCs w:val="28"/>
        </w:rPr>
        <w:t xml:space="preserve"> quindi</w:t>
      </w:r>
      <w:r w:rsidR="003679E8">
        <w:rPr>
          <w:rFonts w:ascii="Times New Roman" w:hAnsi="Times New Roman" w:cs="Times New Roman"/>
          <w:sz w:val="28"/>
          <w:szCs w:val="28"/>
        </w:rPr>
        <w:t>,</w:t>
      </w:r>
      <w:r w:rsidRPr="008979BF">
        <w:rPr>
          <w:rFonts w:ascii="Times New Roman" w:hAnsi="Times New Roman" w:cs="Times New Roman"/>
          <w:sz w:val="28"/>
          <w:szCs w:val="28"/>
        </w:rPr>
        <w:t xml:space="preserve"> per es</w:t>
      </w:r>
      <w:r w:rsidR="00D27A94">
        <w:rPr>
          <w:rFonts w:ascii="Times New Roman" w:hAnsi="Times New Roman" w:cs="Times New Roman"/>
          <w:sz w:val="28"/>
          <w:szCs w:val="28"/>
        </w:rPr>
        <w:t>empio</w:t>
      </w:r>
      <w:r w:rsidRPr="008979BF">
        <w:rPr>
          <w:rFonts w:ascii="Times New Roman" w:hAnsi="Times New Roman" w:cs="Times New Roman"/>
          <w:sz w:val="28"/>
          <w:szCs w:val="28"/>
        </w:rPr>
        <w:t xml:space="preserve"> nei «locali» soltanto destinati a civile abitazione  mentre invece la CTR aveva considerato applicabile alla fattispecie esclusivamente l'art. 52, comma 1, </w:t>
      </w:r>
      <w:r w:rsidR="00D27A94">
        <w:rPr>
          <w:rFonts w:ascii="Times New Roman" w:hAnsi="Times New Roman" w:cs="Times New Roman"/>
          <w:sz w:val="28"/>
          <w:szCs w:val="28"/>
        </w:rPr>
        <w:t>D.P.R.</w:t>
      </w:r>
      <w:r w:rsidRPr="008979BF">
        <w:rPr>
          <w:rFonts w:ascii="Times New Roman" w:hAnsi="Times New Roman" w:cs="Times New Roman"/>
          <w:sz w:val="28"/>
          <w:szCs w:val="28"/>
        </w:rPr>
        <w:t xml:space="preserve"> n. 633 cit.</w:t>
      </w:r>
    </w:p>
    <w:p w:rsidR="003679E8" w:rsidRDefault="008979BF" w:rsidP="008979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9BF">
        <w:rPr>
          <w:rFonts w:ascii="Times New Roman" w:hAnsi="Times New Roman" w:cs="Times New Roman"/>
          <w:sz w:val="28"/>
          <w:szCs w:val="28"/>
        </w:rPr>
        <w:t>Il motivo è</w:t>
      </w:r>
      <w:r w:rsidR="003679E8">
        <w:rPr>
          <w:rFonts w:ascii="Times New Roman" w:hAnsi="Times New Roman" w:cs="Times New Roman"/>
          <w:sz w:val="28"/>
          <w:szCs w:val="28"/>
        </w:rPr>
        <w:t xml:space="preserve"> stato dichiarato giustamente</w:t>
      </w:r>
      <w:r w:rsidRPr="008979BF">
        <w:rPr>
          <w:rFonts w:ascii="Times New Roman" w:hAnsi="Times New Roman" w:cs="Times New Roman"/>
          <w:sz w:val="28"/>
          <w:szCs w:val="28"/>
        </w:rPr>
        <w:t xml:space="preserve"> inammissibile perché in realtà quello che viene rimproverato alla CTR non è </w:t>
      </w:r>
      <w:r w:rsidR="002E09E8">
        <w:rPr>
          <w:rFonts w:ascii="Times New Roman" w:hAnsi="Times New Roman" w:cs="Times New Roman"/>
          <w:sz w:val="28"/>
          <w:szCs w:val="28"/>
        </w:rPr>
        <w:t>l'affermazione di esistenza o di</w:t>
      </w:r>
      <w:r w:rsidRPr="008979BF">
        <w:rPr>
          <w:rFonts w:ascii="Times New Roman" w:hAnsi="Times New Roman" w:cs="Times New Roman"/>
          <w:sz w:val="28"/>
          <w:szCs w:val="28"/>
        </w:rPr>
        <w:t xml:space="preserve"> inesistenza dì un fatto 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controverso e decisivo, avvenuta senza una sufficiente spiegazione oppure con una spiegazione illogica. </w:t>
      </w:r>
    </w:p>
    <w:p w:rsidR="008979BF" w:rsidRPr="00D27A94" w:rsidRDefault="003679E8" w:rsidP="008979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="008979BF" w:rsidRPr="00D27A94">
        <w:rPr>
          <w:rFonts w:ascii="Times New Roman" w:hAnsi="Times New Roman" w:cs="Times New Roman"/>
          <w:bCs/>
          <w:sz w:val="28"/>
          <w:szCs w:val="28"/>
        </w:rPr>
        <w:t xml:space="preserve">ensì si rimprovera alla CTR una motivazione </w:t>
      </w:r>
      <w:r w:rsidR="008979BF" w:rsidRPr="00D27A94">
        <w:rPr>
          <w:rFonts w:ascii="Times New Roman" w:hAnsi="Times New Roman" w:cs="Times New Roman"/>
          <w:sz w:val="28"/>
          <w:szCs w:val="28"/>
        </w:rPr>
        <w:t>giuridica insufficiente o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contraddittoria. Sennonché la inidonea motivazione giuridica è rilevante solamente sotto il profilo della violazione di legge </w:t>
      </w:r>
      <w:r w:rsidR="008979BF" w:rsidRPr="00D27A94">
        <w:rPr>
          <w:rFonts w:ascii="Times New Roman" w:hAnsi="Times New Roman" w:cs="Times New Roman"/>
          <w:iCs/>
          <w:sz w:val="28"/>
          <w:szCs w:val="28"/>
        </w:rPr>
        <w:t>ex</w:t>
      </w:r>
      <w:r w:rsidR="008979BF" w:rsidRPr="008979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79BF" w:rsidRPr="008979BF">
        <w:rPr>
          <w:rFonts w:ascii="Times New Roman" w:hAnsi="Times New Roman" w:cs="Times New Roman"/>
          <w:sz w:val="28"/>
          <w:szCs w:val="28"/>
        </w:rPr>
        <w:t>art. 360, comma 1, n. 3, c.p.c., tanto è vero che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9BF" w:rsidRPr="008979BF">
        <w:rPr>
          <w:rFonts w:ascii="Times New Roman" w:hAnsi="Times New Roman" w:cs="Times New Roman"/>
          <w:sz w:val="28"/>
          <w:szCs w:val="28"/>
        </w:rPr>
        <w:t xml:space="preserve"> se la decisione è conforme a diritto, la motivazione </w:t>
      </w:r>
      <w:r w:rsidR="008979BF" w:rsidRPr="00D27A94">
        <w:rPr>
          <w:rFonts w:ascii="Times New Roman" w:hAnsi="Times New Roman" w:cs="Times New Roman"/>
          <w:bCs/>
          <w:sz w:val="28"/>
          <w:szCs w:val="28"/>
        </w:rPr>
        <w:t>della sentenza deve essere dalla Corte semplicemente integrata o corretta ai sensi dell'art. 384, comma 4, c</w:t>
      </w:r>
      <w:r w:rsidR="002E09E8">
        <w:rPr>
          <w:rFonts w:ascii="Times New Roman" w:hAnsi="Times New Roman" w:cs="Times New Roman"/>
          <w:bCs/>
          <w:sz w:val="28"/>
          <w:szCs w:val="28"/>
        </w:rPr>
        <w:t>.</w:t>
      </w:r>
      <w:r w:rsidR="008979BF" w:rsidRPr="00D27A94">
        <w:rPr>
          <w:rFonts w:ascii="Times New Roman" w:hAnsi="Times New Roman" w:cs="Times New Roman"/>
          <w:bCs/>
          <w:sz w:val="28"/>
          <w:szCs w:val="28"/>
        </w:rPr>
        <w:t>p.c</w:t>
      </w:r>
      <w:r w:rsidR="00D27A94">
        <w:rPr>
          <w:rFonts w:ascii="Times New Roman" w:hAnsi="Times New Roman" w:cs="Times New Roman"/>
          <w:bCs/>
          <w:sz w:val="28"/>
          <w:szCs w:val="28"/>
        </w:rPr>
        <w:t>.</w:t>
      </w:r>
      <w:r w:rsidR="008979BF" w:rsidRPr="00D27A94">
        <w:rPr>
          <w:rFonts w:ascii="Times New Roman" w:hAnsi="Times New Roman" w:cs="Times New Roman"/>
          <w:bCs/>
          <w:sz w:val="28"/>
          <w:szCs w:val="28"/>
        </w:rPr>
        <w:t xml:space="preserve"> (Cass</w:t>
      </w:r>
      <w:r w:rsidR="002E09E8">
        <w:rPr>
          <w:rFonts w:ascii="Times New Roman" w:hAnsi="Times New Roman" w:cs="Times New Roman"/>
          <w:bCs/>
          <w:sz w:val="28"/>
          <w:szCs w:val="28"/>
        </w:rPr>
        <w:t>.</w:t>
      </w:r>
      <w:r w:rsidR="008979BF" w:rsidRPr="00D27A94">
        <w:rPr>
          <w:rFonts w:ascii="Times New Roman" w:hAnsi="Times New Roman" w:cs="Times New Roman"/>
          <w:bCs/>
          <w:sz w:val="28"/>
          <w:szCs w:val="28"/>
        </w:rPr>
        <w:t xml:space="preserve"> sez. trib. n. 5123 del 2012; Ca</w:t>
      </w:r>
      <w:r w:rsidR="002E09E8">
        <w:rPr>
          <w:rFonts w:ascii="Times New Roman" w:hAnsi="Times New Roman" w:cs="Times New Roman"/>
          <w:bCs/>
          <w:sz w:val="28"/>
          <w:szCs w:val="28"/>
        </w:rPr>
        <w:t>ss. sez.</w:t>
      </w:r>
      <w:r w:rsidR="008979BF" w:rsidRPr="00D27A94">
        <w:rPr>
          <w:rFonts w:ascii="Times New Roman" w:hAnsi="Times New Roman" w:cs="Times New Roman"/>
          <w:bCs/>
          <w:sz w:val="28"/>
          <w:szCs w:val="28"/>
        </w:rPr>
        <w:t xml:space="preserve"> lav</w:t>
      </w:r>
      <w:r w:rsidR="002E09E8">
        <w:rPr>
          <w:rFonts w:ascii="Times New Roman" w:hAnsi="Times New Roman" w:cs="Times New Roman"/>
          <w:bCs/>
          <w:sz w:val="28"/>
          <w:szCs w:val="28"/>
        </w:rPr>
        <w:t>.</w:t>
      </w:r>
      <w:r w:rsidR="008979BF" w:rsidRPr="00D27A94">
        <w:rPr>
          <w:rFonts w:ascii="Times New Roman" w:hAnsi="Times New Roman" w:cs="Times New Roman"/>
          <w:bCs/>
          <w:sz w:val="28"/>
          <w:szCs w:val="28"/>
        </w:rPr>
        <w:t xml:space="preserve"> n. 16640 del 2005).</w:t>
      </w:r>
    </w:p>
    <w:p w:rsidR="008979BF" w:rsidRPr="00D27A94" w:rsidRDefault="008979BF" w:rsidP="008979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94">
        <w:rPr>
          <w:rFonts w:ascii="Times New Roman" w:hAnsi="Times New Roman" w:cs="Times New Roman"/>
          <w:bCs/>
          <w:sz w:val="28"/>
          <w:szCs w:val="28"/>
        </w:rPr>
        <w:t>Con il secondo motivo di ricorso rubricato «Violazione</w:t>
      </w:r>
      <w:r w:rsidRPr="00897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9BF">
        <w:rPr>
          <w:rFonts w:ascii="Times New Roman" w:hAnsi="Times New Roman" w:cs="Times New Roman"/>
          <w:sz w:val="28"/>
          <w:szCs w:val="28"/>
        </w:rPr>
        <w:t xml:space="preserve">dell'art. 1, comma 1, Tariffa, </w:t>
      </w:r>
      <w:r w:rsidRPr="00D27A94">
        <w:rPr>
          <w:rFonts w:ascii="Times New Roman" w:hAnsi="Times New Roman" w:cs="Times New Roman"/>
          <w:sz w:val="28"/>
          <w:szCs w:val="28"/>
        </w:rPr>
        <w:t xml:space="preserve">Parte 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Pr="00D27A94">
        <w:rPr>
          <w:rFonts w:ascii="Times New Roman" w:hAnsi="Times New Roman" w:cs="Times New Roman"/>
          <w:sz w:val="28"/>
          <w:szCs w:val="28"/>
        </w:rPr>
        <w:t xml:space="preserve">allegata al </w:t>
      </w:r>
      <w:r w:rsidR="00D27A94">
        <w:rPr>
          <w:rFonts w:ascii="Times New Roman" w:hAnsi="Times New Roman" w:cs="Times New Roman"/>
          <w:sz w:val="28"/>
          <w:szCs w:val="28"/>
        </w:rPr>
        <w:t>D.P.R.</w:t>
      </w:r>
      <w:r w:rsidRPr="00D27A94">
        <w:rPr>
          <w:rFonts w:ascii="Times New Roman" w:hAnsi="Times New Roman" w:cs="Times New Roman"/>
          <w:sz w:val="28"/>
          <w:szCs w:val="28"/>
        </w:rPr>
        <w:t xml:space="preserve"> 26 aprile 1986 n. 131 e del </w:t>
      </w:r>
      <w:r w:rsidR="00D27A94">
        <w:rPr>
          <w:rFonts w:ascii="Times New Roman" w:hAnsi="Times New Roman" w:cs="Times New Roman"/>
          <w:sz w:val="28"/>
          <w:szCs w:val="28"/>
        </w:rPr>
        <w:t>d</w:t>
      </w:r>
      <w:r w:rsidRPr="00D27A94">
        <w:rPr>
          <w:rFonts w:ascii="Times New Roman" w:hAnsi="Times New Roman" w:cs="Times New Roman"/>
          <w:sz w:val="28"/>
          <w:szCs w:val="28"/>
        </w:rPr>
        <w:t xml:space="preserve">.m. 2 agosto 1969 in relazione all'art. 360, comma 1, n. 3, c.p.c.», i contribuenti </w:t>
      </w:r>
      <w:r w:rsidR="00D27A94">
        <w:rPr>
          <w:rFonts w:ascii="Times New Roman" w:hAnsi="Times New Roman" w:cs="Times New Roman"/>
          <w:bCs/>
          <w:sz w:val="28"/>
          <w:szCs w:val="28"/>
        </w:rPr>
        <w:t>deducevano che la CTR era i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ncorsa nella violazione delle </w:t>
      </w:r>
      <w:r w:rsidRPr="00D27A94">
        <w:rPr>
          <w:rFonts w:ascii="Times New Roman" w:hAnsi="Times New Roman" w:cs="Times New Roman"/>
          <w:sz w:val="28"/>
          <w:szCs w:val="28"/>
        </w:rPr>
        <w:t xml:space="preserve">norme </w:t>
      </w:r>
      <w:r w:rsidR="00D27A94">
        <w:rPr>
          <w:rFonts w:ascii="Times New Roman" w:hAnsi="Times New Roman" w:cs="Times New Roman"/>
          <w:bCs/>
          <w:sz w:val="28"/>
          <w:szCs w:val="28"/>
        </w:rPr>
        <w:t>laddove aveva ritenuto di «i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ncludere nel calcolo della </w:t>
      </w:r>
      <w:r w:rsidR="0016544D">
        <w:rPr>
          <w:rFonts w:ascii="Times New Roman" w:hAnsi="Times New Roman" w:cs="Times New Roman"/>
          <w:sz w:val="28"/>
          <w:szCs w:val="28"/>
        </w:rPr>
        <w:lastRenderedPageBreak/>
        <w:t>superficie cosiddetta utile</w:t>
      </w:r>
      <w:r w:rsidRPr="00D27A94">
        <w:rPr>
          <w:rFonts w:ascii="Times New Roman" w:hAnsi="Times New Roman" w:cs="Times New Roman"/>
          <w:sz w:val="28"/>
          <w:szCs w:val="28"/>
        </w:rPr>
        <w:t xml:space="preserve"> vani che</w:t>
      </w:r>
      <w:r w:rsidR="00E431A9">
        <w:rPr>
          <w:rFonts w:ascii="Times New Roman" w:hAnsi="Times New Roman" w:cs="Times New Roman"/>
          <w:sz w:val="28"/>
          <w:szCs w:val="28"/>
        </w:rPr>
        <w:t>,</w:t>
      </w:r>
      <w:r w:rsidRPr="00D27A94">
        <w:rPr>
          <w:rFonts w:ascii="Times New Roman" w:hAnsi="Times New Roman" w:cs="Times New Roman"/>
          <w:sz w:val="28"/>
          <w:szCs w:val="28"/>
        </w:rPr>
        <w:t xml:space="preserve"> in realtà</w:t>
      </w:r>
      <w:r w:rsidR="00E431A9">
        <w:rPr>
          <w:rFonts w:ascii="Times New Roman" w:hAnsi="Times New Roman" w:cs="Times New Roman"/>
          <w:sz w:val="28"/>
          <w:szCs w:val="28"/>
        </w:rPr>
        <w:t>,</w:t>
      </w:r>
      <w:r w:rsidRPr="00D27A94">
        <w:rPr>
          <w:rFonts w:ascii="Times New Roman" w:hAnsi="Times New Roman" w:cs="Times New Roman"/>
          <w:sz w:val="28"/>
          <w:szCs w:val="28"/>
        </w:rPr>
        <w:t xml:space="preserve"> non erano 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abitabili secondo la normativa statale e locale vigente», circostanza quella della «non abitabilità» </w:t>
      </w:r>
      <w:r w:rsidRPr="00D27A94">
        <w:rPr>
          <w:rFonts w:ascii="Times New Roman" w:hAnsi="Times New Roman" w:cs="Times New Roman"/>
          <w:sz w:val="28"/>
          <w:szCs w:val="28"/>
        </w:rPr>
        <w:t>de</w:t>
      </w:r>
      <w:r w:rsidR="00D27A94">
        <w:rPr>
          <w:rFonts w:ascii="Times New Roman" w:hAnsi="Times New Roman" w:cs="Times New Roman"/>
          <w:sz w:val="28"/>
          <w:szCs w:val="28"/>
        </w:rPr>
        <w:t>i locali i</w:t>
      </w:r>
      <w:r w:rsidRPr="00D27A94">
        <w:rPr>
          <w:rFonts w:ascii="Times New Roman" w:hAnsi="Times New Roman" w:cs="Times New Roman"/>
          <w:sz w:val="28"/>
          <w:szCs w:val="28"/>
        </w:rPr>
        <w:t xml:space="preserve">n discussione che secondo i 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contribuenti non sarebbe stata «di per sé contestata dall'Amministrazione resistente» e che inoltre sarebbe anche </w:t>
      </w:r>
      <w:r w:rsidRPr="00D27A94">
        <w:rPr>
          <w:rFonts w:ascii="Times New Roman" w:hAnsi="Times New Roman" w:cs="Times New Roman"/>
          <w:sz w:val="28"/>
          <w:szCs w:val="28"/>
        </w:rPr>
        <w:t xml:space="preserve">stata </w:t>
      </w:r>
      <w:r w:rsidR="00A82510">
        <w:rPr>
          <w:rFonts w:ascii="Times New Roman" w:hAnsi="Times New Roman" w:cs="Times New Roman"/>
          <w:sz w:val="28"/>
          <w:szCs w:val="28"/>
        </w:rPr>
        <w:t>&lt;&lt;</w:t>
      </w:r>
      <w:r w:rsidR="004571BB">
        <w:rPr>
          <w:rFonts w:ascii="Times New Roman" w:hAnsi="Times New Roman" w:cs="Times New Roman"/>
          <w:sz w:val="28"/>
          <w:szCs w:val="28"/>
        </w:rPr>
        <w:t>documentalmente</w:t>
      </w:r>
      <w:r w:rsidRPr="00D27A94">
        <w:rPr>
          <w:rFonts w:ascii="Times New Roman" w:hAnsi="Times New Roman" w:cs="Times New Roman"/>
          <w:sz w:val="28"/>
          <w:szCs w:val="28"/>
        </w:rPr>
        <w:t xml:space="preserve"> 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provata mediante la produzione </w:t>
      </w:r>
      <w:r w:rsidRPr="00D27A94">
        <w:rPr>
          <w:rFonts w:ascii="Times New Roman" w:hAnsi="Times New Roman" w:cs="Times New Roman"/>
          <w:sz w:val="28"/>
          <w:szCs w:val="28"/>
        </w:rPr>
        <w:t xml:space="preserve">della dichiarazione (doc. 5 del fascicolo) </w:t>
      </w:r>
      <w:r w:rsidRPr="00D27A94">
        <w:rPr>
          <w:rFonts w:ascii="Times New Roman" w:hAnsi="Times New Roman" w:cs="Times New Roman"/>
          <w:bCs/>
          <w:sz w:val="28"/>
          <w:szCs w:val="28"/>
        </w:rPr>
        <w:t xml:space="preserve">presentata nel </w:t>
      </w:r>
      <w:r w:rsidRPr="00D27A94">
        <w:rPr>
          <w:rFonts w:ascii="Times New Roman" w:hAnsi="Times New Roman" w:cs="Times New Roman"/>
          <w:sz w:val="28"/>
          <w:szCs w:val="28"/>
        </w:rPr>
        <w:t>2003 all'Agenzia» ecc.</w:t>
      </w:r>
    </w:p>
    <w:p w:rsidR="00AB1BE6" w:rsidRDefault="003679E8" w:rsidP="008979B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l motivo </w:t>
      </w:r>
      <w:r>
        <w:rPr>
          <w:rFonts w:ascii="Times New Roman" w:hAnsi="Times New Roman" w:cs="Times New Roman"/>
          <w:bCs/>
          <w:sz w:val="28"/>
          <w:szCs w:val="28"/>
        </w:rPr>
        <w:t>è stato dichiarato infondato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giacché </w:t>
      </w:r>
      <w:r>
        <w:rPr>
          <w:rFonts w:ascii="Times New Roman" w:hAnsi="Times New Roman" w:cs="Times New Roman"/>
          <w:sz w:val="28"/>
          <w:szCs w:val="28"/>
        </w:rPr>
        <w:t>la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 Corte</w:t>
      </w:r>
      <w:r>
        <w:rPr>
          <w:rFonts w:ascii="Times New Roman" w:hAnsi="Times New Roman" w:cs="Times New Roman"/>
          <w:sz w:val="28"/>
          <w:szCs w:val="28"/>
        </w:rPr>
        <w:t xml:space="preserve"> di Cassazione – Sez. Tributaria -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 ha già avuto modo 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di chiarire come la questione 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della «abitabilità» dei vani non sia incidente su quella della 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«superficie utile 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complessiva» in base alla quale devesi stabilire se 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un'abitazione 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sia o no di 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>lusso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ai sensi dell'art. 6 </w:t>
      </w:r>
      <w:r>
        <w:rPr>
          <w:rFonts w:ascii="Times New Roman" w:hAnsi="Times New Roman" w:cs="Times New Roman"/>
          <w:bCs/>
          <w:sz w:val="28"/>
          <w:szCs w:val="28"/>
        </w:rPr>
        <w:t>Decreto Ministeriale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1BB">
        <w:rPr>
          <w:rFonts w:ascii="Times New Roman" w:hAnsi="Times New Roman" w:cs="Times New Roman"/>
          <w:bCs/>
          <w:sz w:val="28"/>
          <w:szCs w:val="28"/>
        </w:rPr>
        <w:t>del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 1969 </w:t>
      </w:r>
      <w:r w:rsidR="004571BB">
        <w:rPr>
          <w:rFonts w:ascii="Times New Roman" w:hAnsi="Times New Roman" w:cs="Times New Roman"/>
          <w:bCs/>
          <w:sz w:val="28"/>
          <w:szCs w:val="28"/>
        </w:rPr>
        <w:t>cit.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, essendo </w:t>
      </w:r>
      <w:r w:rsidR="008979BF" w:rsidRPr="004571BB">
        <w:rPr>
          <w:rFonts w:ascii="Times New Roman" w:hAnsi="Times New Roman" w:cs="Times New Roman"/>
          <w:sz w:val="28"/>
          <w:szCs w:val="28"/>
        </w:rPr>
        <w:t>unicamente rilevante quello della sua «</w:t>
      </w:r>
      <w:r w:rsidR="008979BF" w:rsidRPr="003679E8">
        <w:rPr>
          <w:rFonts w:ascii="Times New Roman" w:hAnsi="Times New Roman" w:cs="Times New Roman"/>
          <w:b/>
          <w:sz w:val="28"/>
          <w:szCs w:val="28"/>
        </w:rPr>
        <w:t>utilizzabilità</w:t>
      </w:r>
      <w:r w:rsidR="008979BF" w:rsidRPr="004571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cioè di fatto abitati e assimilabili</w:t>
      </w:r>
      <w:r w:rsidR="008979BF" w:rsidRPr="004571BB">
        <w:rPr>
          <w:rFonts w:ascii="Times New Roman" w:hAnsi="Times New Roman" w:cs="Times New Roman"/>
          <w:sz w:val="28"/>
          <w:szCs w:val="28"/>
        </w:rPr>
        <w:t xml:space="preserve"> agli altri vani principali dell'abitazione» (Cass. </w:t>
      </w:r>
      <w:r w:rsidR="002E09E8">
        <w:rPr>
          <w:rFonts w:ascii="Times New Roman" w:hAnsi="Times New Roman" w:cs="Times New Roman"/>
          <w:bCs/>
          <w:sz w:val="28"/>
          <w:szCs w:val="28"/>
        </w:rPr>
        <w:t>sez. trib.</w:t>
      </w:r>
      <w:r w:rsidR="004571BB">
        <w:rPr>
          <w:rFonts w:ascii="Times New Roman" w:hAnsi="Times New Roman" w:cs="Times New Roman"/>
          <w:bCs/>
          <w:sz w:val="28"/>
          <w:szCs w:val="28"/>
        </w:rPr>
        <w:t xml:space="preserve"> n. 11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>73 del 2016; Cass</w:t>
      </w:r>
      <w:r w:rsidR="002E09E8">
        <w:rPr>
          <w:rFonts w:ascii="Times New Roman" w:hAnsi="Times New Roman" w:cs="Times New Roman"/>
          <w:bCs/>
          <w:sz w:val="28"/>
          <w:szCs w:val="28"/>
        </w:rPr>
        <w:t>.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 sez. </w:t>
      </w:r>
      <w:r w:rsidR="004571BB">
        <w:rPr>
          <w:rFonts w:ascii="Times New Roman" w:hAnsi="Times New Roman" w:cs="Times New Roman"/>
          <w:bCs/>
          <w:sz w:val="28"/>
          <w:szCs w:val="28"/>
        </w:rPr>
        <w:t>trib.</w:t>
      </w:r>
      <w:r w:rsidR="008979BF" w:rsidRPr="004571BB">
        <w:rPr>
          <w:rFonts w:ascii="Times New Roman" w:hAnsi="Times New Roman" w:cs="Times New Roman"/>
          <w:bCs/>
          <w:sz w:val="28"/>
          <w:szCs w:val="28"/>
        </w:rPr>
        <w:t xml:space="preserve"> n. 25574 del 2013).</w:t>
      </w:r>
    </w:p>
    <w:p w:rsidR="006D64EF" w:rsidRDefault="006D64EF" w:rsidP="008979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Lecce,   </w:t>
      </w:r>
      <w:r w:rsidR="003679E8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679E8">
        <w:rPr>
          <w:rFonts w:ascii="Times New Roman" w:hAnsi="Times New Roman" w:cs="Times New Roman"/>
          <w:b/>
          <w:bCs/>
          <w:sz w:val="28"/>
          <w:szCs w:val="28"/>
        </w:rPr>
        <w:t>dicembre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</w:p>
    <w:p w:rsidR="006D64EF" w:rsidRDefault="006D64EF" w:rsidP="008979B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4EF" w:rsidRPr="006D64EF" w:rsidRDefault="006D64EF" w:rsidP="006D6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4EF">
        <w:rPr>
          <w:rFonts w:ascii="Times New Roman" w:hAnsi="Times New Roman" w:cs="Times New Roman"/>
          <w:b/>
          <w:bCs/>
          <w:sz w:val="28"/>
          <w:szCs w:val="28"/>
        </w:rPr>
        <w:t>AVV. MAURIZIO VILLANI</w:t>
      </w:r>
    </w:p>
    <w:p w:rsidR="006D64EF" w:rsidRPr="006D64EF" w:rsidRDefault="006D64EF" w:rsidP="006D6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4EF">
        <w:rPr>
          <w:rFonts w:ascii="Times New Roman" w:hAnsi="Times New Roman" w:cs="Times New Roman"/>
          <w:b/>
          <w:bCs/>
          <w:sz w:val="28"/>
          <w:szCs w:val="28"/>
        </w:rPr>
        <w:t>Avvocato Tributarista in Lecce</w:t>
      </w:r>
    </w:p>
    <w:p w:rsidR="006D64EF" w:rsidRPr="006D64EF" w:rsidRDefault="006D64EF" w:rsidP="006D6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EF">
        <w:rPr>
          <w:rFonts w:ascii="Times New Roman" w:hAnsi="Times New Roman" w:cs="Times New Roman"/>
          <w:b/>
          <w:sz w:val="28"/>
          <w:szCs w:val="28"/>
        </w:rPr>
        <w:t>Patrocinante in Cassazione</w:t>
      </w:r>
    </w:p>
    <w:p w:rsidR="006D64EF" w:rsidRPr="006D64EF" w:rsidRDefault="00C31F99" w:rsidP="006D6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6D64EF" w:rsidRPr="006D64EF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www.studiotributariovillani.it</w:t>
        </w:r>
      </w:hyperlink>
      <w:r w:rsidR="006D64EF" w:rsidRPr="006D64EF">
        <w:rPr>
          <w:rFonts w:ascii="Times New Roman" w:hAnsi="Times New Roman" w:cs="Times New Roman"/>
          <w:b/>
          <w:bCs/>
          <w:sz w:val="28"/>
          <w:szCs w:val="28"/>
        </w:rPr>
        <w:t xml:space="preserve"> - e-mail </w:t>
      </w:r>
      <w:hyperlink r:id="rId7" w:history="1">
        <w:r w:rsidR="006D64EF" w:rsidRPr="006D64EF">
          <w:rPr>
            <w:rStyle w:val="Collegamentoipertestuale"/>
            <w:rFonts w:ascii="Times New Roman" w:hAnsi="Times New Roman" w:cs="Times New Roman"/>
            <w:b/>
            <w:bCs/>
            <w:sz w:val="28"/>
            <w:szCs w:val="28"/>
          </w:rPr>
          <w:t>avvocato@studiotributariovillani.it</w:t>
        </w:r>
      </w:hyperlink>
    </w:p>
    <w:p w:rsidR="006D64EF" w:rsidRPr="006D64EF" w:rsidRDefault="006D64EF" w:rsidP="006D6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EF" w:rsidRPr="006D64EF" w:rsidRDefault="006D64EF" w:rsidP="006D64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64EF" w:rsidRPr="006D64E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99" w:rsidRDefault="00C31F99" w:rsidP="008979BF">
      <w:pPr>
        <w:spacing w:after="0" w:line="240" w:lineRule="auto"/>
      </w:pPr>
      <w:r>
        <w:separator/>
      </w:r>
    </w:p>
  </w:endnote>
  <w:endnote w:type="continuationSeparator" w:id="0">
    <w:p w:rsidR="00C31F99" w:rsidRDefault="00C31F99" w:rsidP="0089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991855"/>
      <w:docPartObj>
        <w:docPartGallery w:val="Page Numbers (Bottom of Page)"/>
        <w:docPartUnique/>
      </w:docPartObj>
    </w:sdtPr>
    <w:sdtEndPr/>
    <w:sdtContent>
      <w:p w:rsidR="008979BF" w:rsidRDefault="008979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EC">
          <w:rPr>
            <w:noProof/>
          </w:rPr>
          <w:t>1</w:t>
        </w:r>
        <w:r>
          <w:fldChar w:fldCharType="end"/>
        </w:r>
      </w:p>
    </w:sdtContent>
  </w:sdt>
  <w:p w:rsidR="008979BF" w:rsidRDefault="008979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99" w:rsidRDefault="00C31F99" w:rsidP="008979BF">
      <w:pPr>
        <w:spacing w:after="0" w:line="240" w:lineRule="auto"/>
      </w:pPr>
      <w:r>
        <w:separator/>
      </w:r>
    </w:p>
  </w:footnote>
  <w:footnote w:type="continuationSeparator" w:id="0">
    <w:p w:rsidR="00C31F99" w:rsidRDefault="00C31F99" w:rsidP="0089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F"/>
    <w:rsid w:val="000706EC"/>
    <w:rsid w:val="000C2CE3"/>
    <w:rsid w:val="00154EB3"/>
    <w:rsid w:val="0016544D"/>
    <w:rsid w:val="001D78C2"/>
    <w:rsid w:val="001E433C"/>
    <w:rsid w:val="001F40A3"/>
    <w:rsid w:val="00223E11"/>
    <w:rsid w:val="002E09E8"/>
    <w:rsid w:val="003679E8"/>
    <w:rsid w:val="003C669F"/>
    <w:rsid w:val="004571BB"/>
    <w:rsid w:val="00504D01"/>
    <w:rsid w:val="005C5C88"/>
    <w:rsid w:val="006D64EF"/>
    <w:rsid w:val="007B4104"/>
    <w:rsid w:val="007D4593"/>
    <w:rsid w:val="007F2BEF"/>
    <w:rsid w:val="008979BF"/>
    <w:rsid w:val="00923903"/>
    <w:rsid w:val="009C6470"/>
    <w:rsid w:val="00A30E66"/>
    <w:rsid w:val="00A82510"/>
    <w:rsid w:val="00AB1BE6"/>
    <w:rsid w:val="00BC60B6"/>
    <w:rsid w:val="00C31F99"/>
    <w:rsid w:val="00CE6149"/>
    <w:rsid w:val="00D15A30"/>
    <w:rsid w:val="00D27A94"/>
    <w:rsid w:val="00E431A9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5A22-A687-42A0-980C-5547BCC5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9BF"/>
  </w:style>
  <w:style w:type="paragraph" w:styleId="Pidipagina">
    <w:name w:val="footer"/>
    <w:basedOn w:val="Normale"/>
    <w:link w:val="PidipaginaCarattere"/>
    <w:uiPriority w:val="99"/>
    <w:unhideWhenUsed/>
    <w:rsid w:val="00897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9BF"/>
  </w:style>
  <w:style w:type="character" w:styleId="Collegamentoipertestuale">
    <w:name w:val="Hyperlink"/>
    <w:basedOn w:val="Carpredefinitoparagrafo"/>
    <w:uiPriority w:val="99"/>
    <w:unhideWhenUsed/>
    <w:rsid w:val="006D64E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vvocato@studiotributariovill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tributariovilla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User</cp:lastModifiedBy>
  <cp:revision>2</cp:revision>
  <cp:lastPrinted>2016-12-10T08:31:00Z</cp:lastPrinted>
  <dcterms:created xsi:type="dcterms:W3CDTF">2016-12-12T07:57:00Z</dcterms:created>
  <dcterms:modified xsi:type="dcterms:W3CDTF">2016-12-12T07:57:00Z</dcterms:modified>
</cp:coreProperties>
</file>