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989" w:rsidRDefault="00C4722E" w:rsidP="00EA7989">
      <w:pPr>
        <w:spacing w:after="0" w:line="360" w:lineRule="auto"/>
        <w:ind w:right="566"/>
        <w:jc w:val="center"/>
        <w:rPr>
          <w:rFonts w:ascii="Times New Roman" w:hAnsi="Times New Roman" w:cs="Times New Roman"/>
          <w:b/>
          <w:bCs/>
          <w:i/>
          <w:sz w:val="26"/>
          <w:szCs w:val="26"/>
        </w:rPr>
      </w:pPr>
      <w:bookmarkStart w:id="0" w:name="_GoBack"/>
      <w:bookmarkEnd w:id="0"/>
      <w:r w:rsidRPr="004C44AA">
        <w:rPr>
          <w:rFonts w:ascii="Times New Roman" w:hAnsi="Times New Roman" w:cs="Times New Roman"/>
          <w:b/>
          <w:bCs/>
          <w:i/>
          <w:sz w:val="26"/>
          <w:szCs w:val="26"/>
        </w:rPr>
        <w:t>LE “PUBLIC UTILITIES” E LE DEDU</w:t>
      </w:r>
      <w:r w:rsidR="00515613">
        <w:rPr>
          <w:rFonts w:ascii="Times New Roman" w:hAnsi="Times New Roman" w:cs="Times New Roman"/>
          <w:b/>
          <w:bCs/>
          <w:i/>
          <w:sz w:val="26"/>
          <w:szCs w:val="26"/>
        </w:rPr>
        <w:t xml:space="preserve">ZIONI IRAP: </w:t>
      </w:r>
    </w:p>
    <w:p w:rsidR="00C4722E" w:rsidRDefault="00515613" w:rsidP="00EA7989">
      <w:pPr>
        <w:spacing w:after="0" w:line="360" w:lineRule="auto"/>
        <w:ind w:right="566"/>
        <w:jc w:val="center"/>
        <w:rPr>
          <w:rFonts w:ascii="Times New Roman" w:hAnsi="Times New Roman" w:cs="Times New Roman"/>
          <w:b/>
          <w:bCs/>
          <w:i/>
          <w:sz w:val="26"/>
          <w:szCs w:val="26"/>
        </w:rPr>
      </w:pPr>
      <w:r>
        <w:rPr>
          <w:rFonts w:ascii="Times New Roman" w:hAnsi="Times New Roman" w:cs="Times New Roman"/>
          <w:b/>
          <w:bCs/>
          <w:i/>
          <w:sz w:val="26"/>
          <w:szCs w:val="26"/>
        </w:rPr>
        <w:t>CTP Lecce, sentt. n</w:t>
      </w:r>
      <w:r w:rsidR="00C4722E" w:rsidRPr="004C44AA">
        <w:rPr>
          <w:rFonts w:ascii="Times New Roman" w:hAnsi="Times New Roman" w:cs="Times New Roman"/>
          <w:b/>
          <w:bCs/>
          <w:i/>
          <w:sz w:val="26"/>
          <w:szCs w:val="26"/>
        </w:rPr>
        <w:t>.</w:t>
      </w:r>
      <w:r w:rsidR="006B4519" w:rsidRPr="004C44AA">
        <w:rPr>
          <w:rFonts w:ascii="Times New Roman" w:hAnsi="Times New Roman" w:cs="Times New Roman"/>
          <w:b/>
          <w:bCs/>
          <w:i/>
          <w:sz w:val="26"/>
          <w:szCs w:val="26"/>
        </w:rPr>
        <w:t xml:space="preserve"> 2826</w:t>
      </w:r>
      <w:r w:rsidR="004C44AA">
        <w:rPr>
          <w:rFonts w:ascii="Times New Roman" w:hAnsi="Times New Roman" w:cs="Times New Roman"/>
          <w:b/>
          <w:bCs/>
          <w:i/>
          <w:sz w:val="26"/>
          <w:szCs w:val="26"/>
        </w:rPr>
        <w:t xml:space="preserve"> e </w:t>
      </w:r>
      <w:r>
        <w:rPr>
          <w:rFonts w:ascii="Times New Roman" w:hAnsi="Times New Roman" w:cs="Times New Roman"/>
          <w:b/>
          <w:bCs/>
          <w:i/>
          <w:sz w:val="26"/>
          <w:szCs w:val="26"/>
        </w:rPr>
        <w:t xml:space="preserve">n. </w:t>
      </w:r>
      <w:r w:rsidR="006B4519" w:rsidRPr="004C44AA">
        <w:rPr>
          <w:rFonts w:ascii="Times New Roman" w:hAnsi="Times New Roman" w:cs="Times New Roman"/>
          <w:b/>
          <w:bCs/>
          <w:i/>
          <w:sz w:val="26"/>
          <w:szCs w:val="26"/>
        </w:rPr>
        <w:t>2825 del 01.09.2017</w:t>
      </w:r>
    </w:p>
    <w:p w:rsidR="00EA7989" w:rsidRPr="004C44AA" w:rsidRDefault="00EA7989" w:rsidP="00EA7989">
      <w:pPr>
        <w:spacing w:after="0" w:line="360" w:lineRule="auto"/>
        <w:ind w:right="566"/>
        <w:jc w:val="center"/>
        <w:rPr>
          <w:rFonts w:ascii="Times New Roman" w:hAnsi="Times New Roman" w:cs="Times New Roman"/>
          <w:b/>
          <w:bCs/>
          <w:i/>
          <w:sz w:val="26"/>
          <w:szCs w:val="26"/>
        </w:rPr>
      </w:pPr>
    </w:p>
    <w:p w:rsidR="00554AD9" w:rsidRPr="00C4722E" w:rsidRDefault="00817FFD" w:rsidP="00C4722E">
      <w:pPr>
        <w:spacing w:line="360" w:lineRule="auto"/>
        <w:ind w:left="567" w:right="566"/>
        <w:jc w:val="both"/>
        <w:rPr>
          <w:rFonts w:ascii="Times New Roman" w:hAnsi="Times New Roman" w:cs="Times New Roman"/>
          <w:sz w:val="24"/>
          <w:szCs w:val="24"/>
        </w:rPr>
      </w:pPr>
      <w:r w:rsidRPr="00C4722E">
        <w:rPr>
          <w:rFonts w:ascii="Times New Roman" w:hAnsi="Times New Roman" w:cs="Times New Roman"/>
          <w:sz w:val="24"/>
          <w:szCs w:val="24"/>
        </w:rPr>
        <w:t xml:space="preserve">La Commissione Tributaria di Lecce – Sezione 2 - nei giorni scorsi ha </w:t>
      </w:r>
      <w:r w:rsidR="00554AD9" w:rsidRPr="00C4722E">
        <w:rPr>
          <w:rFonts w:ascii="Times New Roman" w:hAnsi="Times New Roman" w:cs="Times New Roman"/>
          <w:sz w:val="24"/>
          <w:szCs w:val="24"/>
        </w:rPr>
        <w:t>accolto due ricorsi presentati dall’Avvocato tributarista Maurizio Villani e</w:t>
      </w:r>
      <w:r w:rsidR="001C25F8" w:rsidRPr="00C4722E">
        <w:rPr>
          <w:rFonts w:ascii="Times New Roman" w:hAnsi="Times New Roman" w:cs="Times New Roman"/>
          <w:sz w:val="24"/>
          <w:szCs w:val="24"/>
        </w:rPr>
        <w:t xml:space="preserve"> ha</w:t>
      </w:r>
      <w:r w:rsidR="00554AD9" w:rsidRPr="00C4722E">
        <w:rPr>
          <w:rFonts w:ascii="Times New Roman" w:hAnsi="Times New Roman" w:cs="Times New Roman"/>
          <w:sz w:val="24"/>
          <w:szCs w:val="24"/>
        </w:rPr>
        <w:t>, quindi, to</w:t>
      </w:r>
      <w:r w:rsidRPr="00C4722E">
        <w:rPr>
          <w:rFonts w:ascii="Times New Roman" w:hAnsi="Times New Roman" w:cs="Times New Roman"/>
          <w:sz w:val="24"/>
          <w:szCs w:val="24"/>
        </w:rPr>
        <w:t>talmente annullato gli avvisi di accertamento notificati</w:t>
      </w:r>
      <w:r w:rsidR="006508A6" w:rsidRPr="00C4722E">
        <w:rPr>
          <w:rFonts w:ascii="Times New Roman" w:hAnsi="Times New Roman" w:cs="Times New Roman"/>
          <w:sz w:val="24"/>
          <w:szCs w:val="24"/>
        </w:rPr>
        <w:t xml:space="preserve"> a due società salentine</w:t>
      </w:r>
      <w:r w:rsidR="003433E5" w:rsidRPr="00C4722E">
        <w:rPr>
          <w:rFonts w:ascii="Times New Roman" w:hAnsi="Times New Roman" w:cs="Times New Roman"/>
          <w:sz w:val="24"/>
          <w:szCs w:val="24"/>
        </w:rPr>
        <w:t xml:space="preserve"> </w:t>
      </w:r>
      <w:r w:rsidRPr="00C4722E">
        <w:rPr>
          <w:rFonts w:ascii="Times New Roman" w:hAnsi="Times New Roman" w:cs="Times New Roman"/>
          <w:sz w:val="24"/>
          <w:szCs w:val="24"/>
        </w:rPr>
        <w:t>per l’anno 2011 (</w:t>
      </w:r>
      <w:r w:rsidR="006508A6" w:rsidRPr="00C4722E">
        <w:rPr>
          <w:rFonts w:ascii="Times New Roman" w:hAnsi="Times New Roman" w:cs="Times New Roman"/>
          <w:sz w:val="24"/>
          <w:szCs w:val="24"/>
        </w:rPr>
        <w:t xml:space="preserve">del valore di € </w:t>
      </w:r>
      <w:r w:rsidR="00554AD9" w:rsidRPr="00C4722E">
        <w:rPr>
          <w:rFonts w:ascii="Times New Roman" w:hAnsi="Times New Roman" w:cs="Times New Roman"/>
          <w:b/>
          <w:sz w:val="24"/>
          <w:szCs w:val="24"/>
        </w:rPr>
        <w:t>794.112,60</w:t>
      </w:r>
      <w:r w:rsidR="00554AD9" w:rsidRPr="00C4722E">
        <w:rPr>
          <w:rFonts w:ascii="Times New Roman" w:hAnsi="Times New Roman" w:cs="Times New Roman"/>
          <w:sz w:val="24"/>
          <w:szCs w:val="24"/>
        </w:rPr>
        <w:t xml:space="preserve"> </w:t>
      </w:r>
      <w:r w:rsidR="006508A6" w:rsidRPr="00C4722E">
        <w:rPr>
          <w:rFonts w:ascii="Times New Roman" w:hAnsi="Times New Roman" w:cs="Times New Roman"/>
          <w:sz w:val="24"/>
          <w:szCs w:val="24"/>
        </w:rPr>
        <w:t>oltre interessi) e per l’anno 2012</w:t>
      </w:r>
      <w:r w:rsidRPr="00C4722E">
        <w:rPr>
          <w:rFonts w:ascii="Times New Roman" w:hAnsi="Times New Roman" w:cs="Times New Roman"/>
          <w:sz w:val="24"/>
          <w:szCs w:val="24"/>
        </w:rPr>
        <w:t xml:space="preserve"> (</w:t>
      </w:r>
      <w:r w:rsidR="006508A6" w:rsidRPr="00C4722E">
        <w:rPr>
          <w:rFonts w:ascii="Times New Roman" w:hAnsi="Times New Roman" w:cs="Times New Roman"/>
          <w:sz w:val="24"/>
          <w:szCs w:val="24"/>
        </w:rPr>
        <w:t xml:space="preserve">del valore di </w:t>
      </w:r>
      <w:r w:rsidRPr="00C4722E">
        <w:rPr>
          <w:rFonts w:ascii="Times New Roman" w:hAnsi="Times New Roman" w:cs="Times New Roman"/>
          <w:sz w:val="24"/>
          <w:szCs w:val="24"/>
        </w:rPr>
        <w:t>€</w:t>
      </w:r>
      <w:r w:rsidR="00554AD9" w:rsidRPr="00C4722E">
        <w:rPr>
          <w:rFonts w:ascii="Times New Roman" w:hAnsi="Times New Roman" w:cs="Times New Roman"/>
          <w:sz w:val="24"/>
          <w:szCs w:val="24"/>
        </w:rPr>
        <w:t xml:space="preserve"> </w:t>
      </w:r>
      <w:r w:rsidR="00554AD9" w:rsidRPr="00C4722E">
        <w:rPr>
          <w:rFonts w:ascii="Times New Roman" w:hAnsi="Times New Roman" w:cs="Times New Roman"/>
          <w:b/>
          <w:sz w:val="24"/>
          <w:szCs w:val="24"/>
        </w:rPr>
        <w:t>335.268,30</w:t>
      </w:r>
      <w:r w:rsidRPr="00C4722E">
        <w:rPr>
          <w:rFonts w:ascii="Times New Roman" w:hAnsi="Times New Roman" w:cs="Times New Roman"/>
          <w:sz w:val="24"/>
          <w:szCs w:val="24"/>
        </w:rPr>
        <w:t>, oltre interessi).</w:t>
      </w:r>
    </w:p>
    <w:p w:rsidR="001C25F8" w:rsidRPr="00C4722E" w:rsidRDefault="002420A9" w:rsidP="00C4722E">
      <w:pPr>
        <w:spacing w:line="360" w:lineRule="auto"/>
        <w:ind w:left="567" w:right="566"/>
        <w:jc w:val="both"/>
        <w:rPr>
          <w:rFonts w:ascii="Times New Roman" w:hAnsi="Times New Roman" w:cs="Times New Roman"/>
          <w:sz w:val="24"/>
          <w:szCs w:val="24"/>
        </w:rPr>
      </w:pPr>
      <w:r w:rsidRPr="00C4722E">
        <w:rPr>
          <w:rFonts w:ascii="Times New Roman" w:hAnsi="Times New Roman" w:cs="Times New Roman"/>
          <w:sz w:val="24"/>
          <w:szCs w:val="24"/>
        </w:rPr>
        <w:t>Più specificamente, l</w:t>
      </w:r>
      <w:r w:rsidR="001C25F8" w:rsidRPr="00C4722E">
        <w:rPr>
          <w:rFonts w:ascii="Times New Roman" w:hAnsi="Times New Roman" w:cs="Times New Roman"/>
          <w:sz w:val="24"/>
          <w:szCs w:val="24"/>
        </w:rPr>
        <w:t>’a</w:t>
      </w:r>
      <w:r w:rsidR="00955507" w:rsidRPr="00C4722E">
        <w:rPr>
          <w:rFonts w:ascii="Times New Roman" w:hAnsi="Times New Roman" w:cs="Times New Roman"/>
          <w:sz w:val="24"/>
          <w:szCs w:val="24"/>
        </w:rPr>
        <w:t xml:space="preserve">mministrazione </w:t>
      </w:r>
      <w:r w:rsidR="00EA7989">
        <w:rPr>
          <w:rFonts w:ascii="Times New Roman" w:hAnsi="Times New Roman" w:cs="Times New Roman"/>
          <w:sz w:val="24"/>
          <w:szCs w:val="24"/>
        </w:rPr>
        <w:t>finanziaria aveva</w:t>
      </w:r>
      <w:r w:rsidRPr="00C4722E">
        <w:rPr>
          <w:rFonts w:ascii="Times New Roman" w:hAnsi="Times New Roman" w:cs="Times New Roman"/>
          <w:sz w:val="24"/>
          <w:szCs w:val="24"/>
        </w:rPr>
        <w:t xml:space="preserve"> </w:t>
      </w:r>
      <w:r w:rsidR="001C25F8" w:rsidRPr="00C4722E">
        <w:rPr>
          <w:rFonts w:ascii="Times New Roman" w:hAnsi="Times New Roman" w:cs="Times New Roman"/>
          <w:sz w:val="24"/>
          <w:szCs w:val="24"/>
        </w:rPr>
        <w:t xml:space="preserve">sostenuto che le due società coinvolte </w:t>
      </w:r>
      <w:r w:rsidR="00EA7989">
        <w:rPr>
          <w:rFonts w:ascii="Times New Roman" w:hAnsi="Times New Roman" w:cs="Times New Roman"/>
          <w:sz w:val="24"/>
          <w:szCs w:val="24"/>
        </w:rPr>
        <w:t>avessero effettuato</w:t>
      </w:r>
      <w:r w:rsidR="001C25F8" w:rsidRPr="00C4722E">
        <w:rPr>
          <w:rFonts w:ascii="Times New Roman" w:hAnsi="Times New Roman" w:cs="Times New Roman"/>
          <w:sz w:val="24"/>
          <w:szCs w:val="24"/>
        </w:rPr>
        <w:t xml:space="preserve"> il servizio di raccolta e smaltimento dei rifiuti urbani in regime di concessione</w:t>
      </w:r>
      <w:r w:rsidR="00EA7989">
        <w:rPr>
          <w:rFonts w:ascii="Times New Roman" w:hAnsi="Times New Roman" w:cs="Times New Roman"/>
          <w:sz w:val="24"/>
          <w:szCs w:val="24"/>
        </w:rPr>
        <w:t xml:space="preserve"> (e non di appalto) e che</w:t>
      </w:r>
      <w:r w:rsidR="00217819">
        <w:rPr>
          <w:rFonts w:ascii="Times New Roman" w:hAnsi="Times New Roman" w:cs="Times New Roman"/>
          <w:sz w:val="24"/>
          <w:szCs w:val="24"/>
        </w:rPr>
        <w:t>,</w:t>
      </w:r>
      <w:r w:rsidR="00EA7989">
        <w:rPr>
          <w:rFonts w:ascii="Times New Roman" w:hAnsi="Times New Roman" w:cs="Times New Roman"/>
          <w:sz w:val="24"/>
          <w:szCs w:val="24"/>
        </w:rPr>
        <w:t xml:space="preserve"> pertanto</w:t>
      </w:r>
      <w:r w:rsidR="00217819">
        <w:rPr>
          <w:rFonts w:ascii="Times New Roman" w:hAnsi="Times New Roman" w:cs="Times New Roman"/>
          <w:sz w:val="24"/>
          <w:szCs w:val="24"/>
        </w:rPr>
        <w:t>,</w:t>
      </w:r>
      <w:r w:rsidR="00EA7989">
        <w:rPr>
          <w:rFonts w:ascii="Times New Roman" w:hAnsi="Times New Roman" w:cs="Times New Roman"/>
          <w:sz w:val="24"/>
          <w:szCs w:val="24"/>
        </w:rPr>
        <w:t xml:space="preserve"> avessero </w:t>
      </w:r>
      <w:r w:rsidR="001C25F8" w:rsidRPr="00C4722E">
        <w:rPr>
          <w:rFonts w:ascii="Times New Roman" w:hAnsi="Times New Roman" w:cs="Times New Roman"/>
          <w:sz w:val="24"/>
          <w:szCs w:val="24"/>
        </w:rPr>
        <w:t>benefic</w:t>
      </w:r>
      <w:r w:rsidR="00EA7989">
        <w:rPr>
          <w:rFonts w:ascii="Times New Roman" w:hAnsi="Times New Roman" w:cs="Times New Roman"/>
          <w:sz w:val="24"/>
          <w:szCs w:val="24"/>
        </w:rPr>
        <w:t>iato</w:t>
      </w:r>
      <w:r w:rsidR="001C25F8" w:rsidRPr="00C4722E">
        <w:rPr>
          <w:rFonts w:ascii="Times New Roman" w:hAnsi="Times New Roman" w:cs="Times New Roman"/>
          <w:sz w:val="24"/>
          <w:szCs w:val="24"/>
        </w:rPr>
        <w:t xml:space="preserve"> </w:t>
      </w:r>
      <w:r w:rsidR="00EA7989">
        <w:rPr>
          <w:rFonts w:ascii="Times New Roman" w:hAnsi="Times New Roman" w:cs="Times New Roman"/>
          <w:sz w:val="24"/>
          <w:szCs w:val="24"/>
        </w:rPr>
        <w:t>illegittimamente</w:t>
      </w:r>
      <w:r w:rsidR="00EA7989" w:rsidRPr="00C4722E">
        <w:rPr>
          <w:rFonts w:ascii="Times New Roman" w:hAnsi="Times New Roman" w:cs="Times New Roman"/>
          <w:sz w:val="24"/>
          <w:szCs w:val="24"/>
        </w:rPr>
        <w:t xml:space="preserve"> </w:t>
      </w:r>
      <w:r w:rsidR="001C25F8" w:rsidRPr="00C4722E">
        <w:rPr>
          <w:rFonts w:ascii="Times New Roman" w:hAnsi="Times New Roman" w:cs="Times New Roman"/>
          <w:sz w:val="24"/>
          <w:szCs w:val="24"/>
        </w:rPr>
        <w:t xml:space="preserve">delle deduzioni Irap </w:t>
      </w:r>
      <w:r w:rsidR="00A97A34" w:rsidRPr="00C4722E">
        <w:rPr>
          <w:rFonts w:ascii="Times New Roman" w:hAnsi="Times New Roman" w:cs="Times New Roman"/>
          <w:sz w:val="24"/>
          <w:szCs w:val="24"/>
        </w:rPr>
        <w:t>di cui al</w:t>
      </w:r>
      <w:r w:rsidR="001C25F8" w:rsidRPr="00C4722E">
        <w:rPr>
          <w:rFonts w:ascii="Times New Roman" w:hAnsi="Times New Roman" w:cs="Times New Roman"/>
          <w:sz w:val="24"/>
          <w:szCs w:val="24"/>
        </w:rPr>
        <w:t xml:space="preserve">l'art. 11, comma 1, lett. a) nn. 2), 3) e 4) del d.lgs. n. 446/97. </w:t>
      </w:r>
    </w:p>
    <w:p w:rsidR="00996399" w:rsidRDefault="001C25F8" w:rsidP="00C4722E">
      <w:pPr>
        <w:spacing w:line="360" w:lineRule="auto"/>
        <w:ind w:left="567" w:right="566"/>
        <w:jc w:val="both"/>
        <w:rPr>
          <w:rFonts w:ascii="Times New Roman" w:hAnsi="Times New Roman" w:cs="Times New Roman"/>
          <w:sz w:val="24"/>
          <w:szCs w:val="24"/>
        </w:rPr>
      </w:pPr>
      <w:r w:rsidRPr="00C4722E">
        <w:rPr>
          <w:rFonts w:ascii="Times New Roman" w:hAnsi="Times New Roman" w:cs="Times New Roman"/>
          <w:sz w:val="24"/>
          <w:szCs w:val="24"/>
        </w:rPr>
        <w:t>Di contro</w:t>
      </w:r>
      <w:r w:rsidR="00217819">
        <w:rPr>
          <w:rFonts w:ascii="Times New Roman" w:hAnsi="Times New Roman" w:cs="Times New Roman"/>
          <w:sz w:val="24"/>
          <w:szCs w:val="24"/>
        </w:rPr>
        <w:t>, le società ricorrenti, avevano</w:t>
      </w:r>
      <w:r w:rsidR="00955507" w:rsidRPr="00C4722E">
        <w:rPr>
          <w:rFonts w:ascii="Times New Roman" w:hAnsi="Times New Roman" w:cs="Times New Roman"/>
          <w:sz w:val="24"/>
          <w:szCs w:val="24"/>
        </w:rPr>
        <w:t xml:space="preserve"> sostenuto</w:t>
      </w:r>
      <w:r w:rsidRPr="00C4722E">
        <w:rPr>
          <w:rFonts w:ascii="Times New Roman" w:hAnsi="Times New Roman" w:cs="Times New Roman"/>
          <w:sz w:val="24"/>
          <w:szCs w:val="24"/>
        </w:rPr>
        <w:t xml:space="preserve"> di </w:t>
      </w:r>
      <w:r w:rsidR="00217819">
        <w:rPr>
          <w:rFonts w:ascii="Times New Roman" w:hAnsi="Times New Roman" w:cs="Times New Roman"/>
          <w:sz w:val="24"/>
          <w:szCs w:val="24"/>
        </w:rPr>
        <w:t>aver operato</w:t>
      </w:r>
      <w:r w:rsidRPr="00C4722E">
        <w:rPr>
          <w:rFonts w:ascii="Times New Roman" w:hAnsi="Times New Roman" w:cs="Times New Roman"/>
          <w:sz w:val="24"/>
          <w:szCs w:val="24"/>
        </w:rPr>
        <w:t xml:space="preserve"> in regime di contratto d’appalto</w:t>
      </w:r>
      <w:r w:rsidR="00A97A34" w:rsidRPr="00C4722E">
        <w:rPr>
          <w:rFonts w:ascii="Times New Roman" w:hAnsi="Times New Roman" w:cs="Times New Roman"/>
          <w:sz w:val="24"/>
          <w:szCs w:val="24"/>
        </w:rPr>
        <w:t xml:space="preserve"> e di</w:t>
      </w:r>
      <w:r w:rsidRPr="00C4722E">
        <w:rPr>
          <w:rFonts w:ascii="Times New Roman" w:hAnsi="Times New Roman" w:cs="Times New Roman"/>
          <w:sz w:val="24"/>
          <w:szCs w:val="24"/>
        </w:rPr>
        <w:t xml:space="preserve"> rientrare</w:t>
      </w:r>
      <w:r w:rsidR="00A97A34" w:rsidRPr="00C4722E">
        <w:rPr>
          <w:rFonts w:ascii="Times New Roman" w:hAnsi="Times New Roman" w:cs="Times New Roman"/>
          <w:sz w:val="24"/>
          <w:szCs w:val="24"/>
        </w:rPr>
        <w:t>, quindi,</w:t>
      </w:r>
      <w:r w:rsidRPr="00C4722E">
        <w:rPr>
          <w:rFonts w:ascii="Times New Roman" w:hAnsi="Times New Roman" w:cs="Times New Roman"/>
          <w:sz w:val="24"/>
          <w:szCs w:val="24"/>
        </w:rPr>
        <w:t xml:space="preserve"> nel novero delle imprese </w:t>
      </w:r>
      <w:r w:rsidR="00A97A34" w:rsidRPr="00C4722E">
        <w:rPr>
          <w:rFonts w:ascii="Times New Roman" w:hAnsi="Times New Roman" w:cs="Times New Roman"/>
          <w:sz w:val="24"/>
          <w:szCs w:val="24"/>
        </w:rPr>
        <w:t xml:space="preserve">legittimate a beneficiare </w:t>
      </w:r>
      <w:r w:rsidRPr="00C4722E">
        <w:rPr>
          <w:rFonts w:ascii="Times New Roman" w:hAnsi="Times New Roman" w:cs="Times New Roman"/>
          <w:sz w:val="24"/>
          <w:szCs w:val="24"/>
        </w:rPr>
        <w:t>d</w:t>
      </w:r>
      <w:r w:rsidR="00A97A34" w:rsidRPr="00C4722E">
        <w:rPr>
          <w:rFonts w:ascii="Times New Roman" w:hAnsi="Times New Roman" w:cs="Times New Roman"/>
          <w:sz w:val="24"/>
          <w:szCs w:val="24"/>
        </w:rPr>
        <w:t>e</w:t>
      </w:r>
      <w:r w:rsidRPr="00C4722E">
        <w:rPr>
          <w:rFonts w:ascii="Times New Roman" w:hAnsi="Times New Roman" w:cs="Times New Roman"/>
          <w:sz w:val="24"/>
          <w:szCs w:val="24"/>
        </w:rPr>
        <w:t>lle succitate deduzioni</w:t>
      </w:r>
      <w:r w:rsidR="00A97A34" w:rsidRPr="00C4722E">
        <w:rPr>
          <w:rFonts w:ascii="Times New Roman" w:hAnsi="Times New Roman" w:cs="Times New Roman"/>
          <w:sz w:val="24"/>
          <w:szCs w:val="24"/>
        </w:rPr>
        <w:t xml:space="preserve"> IRAP</w:t>
      </w:r>
      <w:r w:rsidRPr="00C4722E">
        <w:rPr>
          <w:rFonts w:ascii="Times New Roman" w:hAnsi="Times New Roman" w:cs="Times New Roman"/>
          <w:sz w:val="24"/>
          <w:szCs w:val="24"/>
        </w:rPr>
        <w:t>.</w:t>
      </w:r>
    </w:p>
    <w:p w:rsidR="004C44AA" w:rsidRPr="004C44AA" w:rsidRDefault="004C44AA" w:rsidP="004C44AA">
      <w:pPr>
        <w:spacing w:line="360" w:lineRule="auto"/>
        <w:ind w:left="567" w:right="566"/>
        <w:jc w:val="both"/>
        <w:rPr>
          <w:rFonts w:ascii="Times New Roman" w:hAnsi="Times New Roman" w:cs="Times New Roman"/>
          <w:b/>
          <w:bCs/>
          <w:sz w:val="24"/>
          <w:szCs w:val="24"/>
        </w:rPr>
      </w:pPr>
      <w:r>
        <w:rPr>
          <w:rFonts w:ascii="Times New Roman" w:hAnsi="Times New Roman" w:cs="Times New Roman"/>
          <w:bCs/>
          <w:sz w:val="24"/>
          <w:szCs w:val="24"/>
        </w:rPr>
        <w:t>Invero, c</w:t>
      </w:r>
      <w:r w:rsidRPr="004C44AA">
        <w:rPr>
          <w:rFonts w:ascii="Times New Roman" w:hAnsi="Times New Roman" w:cs="Times New Roman"/>
          <w:bCs/>
          <w:sz w:val="24"/>
          <w:szCs w:val="24"/>
        </w:rPr>
        <w:t xml:space="preserve">on l’art.11, comma 1, lettera a) del D.lgs. n.446/97 sono stati, infatti, introdotti specifici sgravi per ridurre la base imponibile Irap, in presenza di personale dipendente impiegato a tempo indeterminato; al contempo, però, </w:t>
      </w:r>
      <w:r w:rsidRPr="004C44AA">
        <w:rPr>
          <w:rFonts w:ascii="Times New Roman" w:hAnsi="Times New Roman" w:cs="Times New Roman"/>
          <w:b/>
          <w:bCs/>
          <w:sz w:val="24"/>
          <w:szCs w:val="24"/>
        </w:rPr>
        <w:t xml:space="preserve">sono stati esclusi dalla fruizione delle suddette deduzioni, tra gli altri, i soggetti operanti in concessione e a tariffa (c.d. </w:t>
      </w:r>
      <w:r w:rsidR="00217819">
        <w:rPr>
          <w:rFonts w:ascii="Times New Roman" w:hAnsi="Times New Roman" w:cs="Times New Roman"/>
          <w:b/>
          <w:bCs/>
          <w:i/>
          <w:sz w:val="24"/>
          <w:szCs w:val="24"/>
        </w:rPr>
        <w:t>pu</w:t>
      </w:r>
      <w:r w:rsidRPr="004C44AA">
        <w:rPr>
          <w:rFonts w:ascii="Times New Roman" w:hAnsi="Times New Roman" w:cs="Times New Roman"/>
          <w:b/>
          <w:bCs/>
          <w:i/>
          <w:sz w:val="24"/>
          <w:szCs w:val="24"/>
        </w:rPr>
        <w:t>blic utilities</w:t>
      </w:r>
      <w:r w:rsidRPr="004C44AA">
        <w:rPr>
          <w:rFonts w:ascii="Times New Roman" w:hAnsi="Times New Roman" w:cs="Times New Roman"/>
          <w:b/>
          <w:bCs/>
          <w:sz w:val="24"/>
          <w:szCs w:val="24"/>
        </w:rPr>
        <w:t>) nei settori dell’energia elettrica, dell’acqua, dei trasporti, delle infrastrutture, delle poste, delle telecomunicazioni, della raccolta e depurazione delle acque di scarico e della raccolta e smaltimento dei rifiuti.</w:t>
      </w:r>
    </w:p>
    <w:p w:rsidR="004C44AA" w:rsidRPr="004C44AA" w:rsidRDefault="004C44AA" w:rsidP="004C44AA">
      <w:pPr>
        <w:spacing w:line="360" w:lineRule="auto"/>
        <w:ind w:left="567" w:right="566"/>
        <w:jc w:val="both"/>
        <w:rPr>
          <w:rFonts w:ascii="Times New Roman" w:hAnsi="Times New Roman" w:cs="Times New Roman"/>
          <w:bCs/>
          <w:sz w:val="24"/>
          <w:szCs w:val="24"/>
        </w:rPr>
      </w:pPr>
      <w:r w:rsidRPr="004C44AA">
        <w:rPr>
          <w:rFonts w:ascii="Times New Roman" w:hAnsi="Times New Roman" w:cs="Times New Roman"/>
          <w:bCs/>
          <w:sz w:val="24"/>
          <w:szCs w:val="24"/>
        </w:rPr>
        <w:t>Ebbene, proprio per tale ragione e stante il sottile divario che c’è tra un’azienda operante in concessione ed una azienda operante in appalto, al fine di meglio capire a quel tipo di attività possano applicarsi le deduzioni sul cuneo finale</w:t>
      </w:r>
      <w:r w:rsidR="00217819">
        <w:rPr>
          <w:rFonts w:ascii="Times New Roman" w:hAnsi="Times New Roman" w:cs="Times New Roman"/>
          <w:bCs/>
          <w:sz w:val="24"/>
          <w:szCs w:val="24"/>
        </w:rPr>
        <w:t xml:space="preserve"> </w:t>
      </w:r>
      <w:r w:rsidR="00217819" w:rsidRPr="00217819">
        <w:rPr>
          <w:rFonts w:ascii="Times New Roman" w:hAnsi="Times New Roman" w:cs="Times New Roman"/>
          <w:bCs/>
          <w:sz w:val="24"/>
          <w:szCs w:val="24"/>
        </w:rPr>
        <w:t>(onde evitare, peraltro, di incorrere in errori in casi di deduzioni in sede di dichiarazione Irap),</w:t>
      </w:r>
      <w:r w:rsidRPr="004C44AA">
        <w:rPr>
          <w:rFonts w:ascii="Times New Roman" w:hAnsi="Times New Roman" w:cs="Times New Roman"/>
          <w:bCs/>
          <w:sz w:val="24"/>
          <w:szCs w:val="24"/>
        </w:rPr>
        <w:t xml:space="preserve"> </w:t>
      </w:r>
      <w:r>
        <w:rPr>
          <w:rFonts w:ascii="Times New Roman" w:hAnsi="Times New Roman" w:cs="Times New Roman"/>
          <w:bCs/>
          <w:sz w:val="24"/>
          <w:szCs w:val="24"/>
        </w:rPr>
        <w:t>di seguito</w:t>
      </w:r>
      <w:r w:rsidRPr="004C44AA">
        <w:rPr>
          <w:rFonts w:ascii="Times New Roman" w:hAnsi="Times New Roman" w:cs="Times New Roman"/>
          <w:bCs/>
          <w:sz w:val="24"/>
          <w:szCs w:val="24"/>
        </w:rPr>
        <w:t xml:space="preserve"> si esamineranno gli sviluppi normativi e le molteplici pronunce giurisprudenziali con cui sono stati forniti i chiarimenti necessari.</w:t>
      </w:r>
    </w:p>
    <w:p w:rsidR="004C44AA" w:rsidRDefault="00C4722E" w:rsidP="004C44AA">
      <w:pPr>
        <w:spacing w:after="0" w:line="360" w:lineRule="auto"/>
        <w:ind w:left="567" w:right="566"/>
        <w:jc w:val="both"/>
        <w:rPr>
          <w:rFonts w:ascii="Times New Roman" w:eastAsia="Calibri" w:hAnsi="Times New Roman" w:cs="Times New Roman"/>
          <w:bCs/>
          <w:sz w:val="24"/>
          <w:szCs w:val="24"/>
        </w:rPr>
      </w:pPr>
      <w:r w:rsidRPr="00C4722E">
        <w:rPr>
          <w:rFonts w:ascii="Times New Roman" w:eastAsia="Calibri" w:hAnsi="Times New Roman" w:cs="Times New Roman"/>
          <w:bCs/>
          <w:sz w:val="24"/>
          <w:szCs w:val="24"/>
        </w:rPr>
        <w:t>Più precisamente, attraverso un notevole lavoro interpretativo svolto dai giudici di merito (tributari e amministrativi) e dai giudici di legittimità, si è inteso fissare una linea di demarcazione netta tra le imprese operanti “in concessione e a tariffa” e le imprese operanti in “appalto di servizi” al fine di:</w:t>
      </w:r>
    </w:p>
    <w:p w:rsidR="004C44AA" w:rsidRPr="004C44AA" w:rsidRDefault="00C4722E" w:rsidP="004C44AA">
      <w:pPr>
        <w:pStyle w:val="Paragrafoelenco"/>
        <w:numPr>
          <w:ilvl w:val="0"/>
          <w:numId w:val="7"/>
        </w:numPr>
        <w:spacing w:after="0" w:line="360" w:lineRule="auto"/>
        <w:ind w:right="566"/>
        <w:jc w:val="both"/>
        <w:rPr>
          <w:rFonts w:ascii="Times New Roman" w:eastAsia="Calibri" w:hAnsi="Times New Roman" w:cs="Times New Roman"/>
          <w:bCs/>
          <w:sz w:val="24"/>
          <w:szCs w:val="24"/>
        </w:rPr>
      </w:pPr>
      <w:r w:rsidRPr="004C44AA">
        <w:rPr>
          <w:rFonts w:ascii="Times New Roman" w:eastAsia="Calibri" w:hAnsi="Times New Roman" w:cs="Times New Roman"/>
          <w:bCs/>
          <w:sz w:val="24"/>
          <w:szCs w:val="24"/>
        </w:rPr>
        <w:lastRenderedPageBreak/>
        <w:t>chiarire le caratteristiche delle une e delle altre;</w:t>
      </w:r>
    </w:p>
    <w:p w:rsidR="00C4722E" w:rsidRPr="004C44AA" w:rsidRDefault="00C4722E" w:rsidP="004C44AA">
      <w:pPr>
        <w:pStyle w:val="Paragrafoelenco"/>
        <w:numPr>
          <w:ilvl w:val="0"/>
          <w:numId w:val="7"/>
        </w:numPr>
        <w:spacing w:after="0" w:line="360" w:lineRule="auto"/>
        <w:ind w:right="566"/>
        <w:jc w:val="both"/>
        <w:rPr>
          <w:rFonts w:ascii="Times New Roman" w:eastAsia="Calibri" w:hAnsi="Times New Roman" w:cs="Times New Roman"/>
          <w:bCs/>
          <w:sz w:val="24"/>
          <w:szCs w:val="24"/>
        </w:rPr>
      </w:pPr>
      <w:r w:rsidRPr="004C44AA">
        <w:rPr>
          <w:rFonts w:ascii="Times New Roman" w:eastAsia="Calibri" w:hAnsi="Times New Roman" w:cs="Times New Roman"/>
          <w:bCs/>
          <w:sz w:val="24"/>
          <w:szCs w:val="24"/>
        </w:rPr>
        <w:t>e specificare quando ricorrano i presupposti tesi a consentire il diritto alle deduzioni in sede di dichiarazione Irap come sopra descritte.</w:t>
      </w:r>
    </w:p>
    <w:p w:rsidR="00C4722E" w:rsidRPr="00C4722E" w:rsidRDefault="00C4722E" w:rsidP="00C4722E">
      <w:pPr>
        <w:spacing w:after="0" w:line="360" w:lineRule="auto"/>
        <w:ind w:left="567" w:right="566"/>
        <w:jc w:val="both"/>
        <w:rPr>
          <w:rFonts w:ascii="Times New Roman" w:eastAsia="Calibri" w:hAnsi="Times New Roman" w:cs="Times New Roman"/>
          <w:b/>
          <w:bCs/>
          <w:sz w:val="24"/>
          <w:szCs w:val="24"/>
          <w:u w:val="single"/>
        </w:rPr>
      </w:pPr>
      <w:r w:rsidRPr="00C4722E">
        <w:rPr>
          <w:rFonts w:ascii="Times New Roman" w:eastAsia="Calibri" w:hAnsi="Times New Roman" w:cs="Times New Roman"/>
          <w:bCs/>
          <w:sz w:val="24"/>
          <w:szCs w:val="24"/>
        </w:rPr>
        <w:t xml:space="preserve">Considerata, dunque, la difficoltà di tracciare una netta distinzione tra il contratto di concessione e quello di appalto, </w:t>
      </w:r>
      <w:r w:rsidRPr="00C4722E">
        <w:rPr>
          <w:rFonts w:ascii="Times New Roman" w:eastAsia="Calibri" w:hAnsi="Times New Roman" w:cs="Times New Roman"/>
          <w:b/>
          <w:bCs/>
          <w:sz w:val="24"/>
          <w:szCs w:val="24"/>
          <w:u w:val="single"/>
        </w:rPr>
        <w:t>la giurisprudenza ha specificamente precisato che si è in presenza di:</w:t>
      </w:r>
    </w:p>
    <w:p w:rsidR="00C4722E" w:rsidRPr="00C4722E" w:rsidRDefault="00C4722E" w:rsidP="00C4722E">
      <w:pPr>
        <w:numPr>
          <w:ilvl w:val="0"/>
          <w:numId w:val="6"/>
        </w:numPr>
        <w:spacing w:after="0" w:line="360" w:lineRule="auto"/>
        <w:ind w:left="567" w:right="566"/>
        <w:jc w:val="both"/>
        <w:rPr>
          <w:rFonts w:ascii="Times New Roman" w:eastAsia="Calibri" w:hAnsi="Times New Roman" w:cs="Times New Roman"/>
          <w:bCs/>
          <w:sz w:val="24"/>
          <w:szCs w:val="24"/>
        </w:rPr>
      </w:pPr>
      <w:r w:rsidRPr="00C4722E">
        <w:rPr>
          <w:rFonts w:ascii="Times New Roman" w:eastAsia="Calibri" w:hAnsi="Times New Roman" w:cs="Times New Roman"/>
          <w:b/>
          <w:bCs/>
          <w:sz w:val="24"/>
          <w:szCs w:val="24"/>
          <w:u w:val="single"/>
        </w:rPr>
        <w:t xml:space="preserve"> “concessione” quando</w:t>
      </w:r>
      <w:r w:rsidRPr="00C4722E">
        <w:rPr>
          <w:rFonts w:ascii="Times New Roman" w:eastAsia="Calibri" w:hAnsi="Times New Roman" w:cs="Times New Roman"/>
          <w:b/>
          <w:bCs/>
          <w:sz w:val="24"/>
          <w:szCs w:val="24"/>
        </w:rPr>
        <w:t>:</w:t>
      </w:r>
    </w:p>
    <w:p w:rsidR="00C4722E" w:rsidRPr="00C4722E" w:rsidRDefault="00C4722E" w:rsidP="00C4722E">
      <w:pPr>
        <w:numPr>
          <w:ilvl w:val="1"/>
          <w:numId w:val="2"/>
        </w:numPr>
        <w:spacing w:after="0" w:line="360" w:lineRule="auto"/>
        <w:ind w:left="1418" w:right="566"/>
        <w:jc w:val="both"/>
        <w:rPr>
          <w:rFonts w:ascii="Times New Roman" w:eastAsia="Calibri" w:hAnsi="Times New Roman" w:cs="Times New Roman"/>
          <w:bCs/>
          <w:sz w:val="24"/>
          <w:szCs w:val="24"/>
          <w:u w:val="single"/>
        </w:rPr>
      </w:pPr>
      <w:r w:rsidRPr="00C4722E">
        <w:rPr>
          <w:rFonts w:ascii="Times New Roman" w:eastAsia="Calibri" w:hAnsi="Times New Roman" w:cs="Times New Roman"/>
          <w:b/>
          <w:bCs/>
          <w:sz w:val="24"/>
          <w:szCs w:val="24"/>
        </w:rPr>
        <w:t xml:space="preserve">l’operatore assume su di sé i rischi connessi alla realizzazione e gestione del servizio.    </w:t>
      </w:r>
      <w:r w:rsidRPr="00C4722E">
        <w:rPr>
          <w:rFonts w:ascii="Times New Roman" w:eastAsia="Calibri" w:hAnsi="Times New Roman" w:cs="Times New Roman"/>
          <w:bCs/>
          <w:sz w:val="24"/>
          <w:szCs w:val="24"/>
        </w:rPr>
        <w:t xml:space="preserve">Invero, “(…) </w:t>
      </w:r>
      <w:r w:rsidRPr="00C4722E">
        <w:rPr>
          <w:rFonts w:ascii="Times New Roman" w:eastAsia="Calibri" w:hAnsi="Times New Roman" w:cs="Times New Roman"/>
          <w:bCs/>
          <w:i/>
          <w:sz w:val="24"/>
          <w:szCs w:val="24"/>
        </w:rPr>
        <w:t>Le concessioni, nel quadro del diritto comunitario, si distinguono dagli appalti non per il titolo provvedimentale dell'attività, nè per il fatto che ci si trovi di fronte ad una vicenda di trasferimento di pubblici poteri o di ampliamento della sfera giuridica del privato, (che sarebbe un fenomeno tipico della concessione in una prospettiva coltivata da tradizionali orientamenti dottrinali), ne' per la loro natura autoritativa o provvedimentale rispetto alla natura contrattuale dell'appalto, ma per il fenomeno di traslazione dell'alea inerente una certa attività in capo al soggetto privato</w:t>
      </w:r>
      <w:r w:rsidRPr="00C4722E">
        <w:rPr>
          <w:rFonts w:ascii="Times New Roman" w:eastAsia="Calibri" w:hAnsi="Times New Roman" w:cs="Times New Roman"/>
          <w:bCs/>
          <w:sz w:val="24"/>
          <w:szCs w:val="24"/>
        </w:rPr>
        <w:t xml:space="preserve">(…)”(Cass., sezione 6 civile, ord. 6 maggio 2015, n. 9139). In buona sostanza, </w:t>
      </w:r>
      <w:r w:rsidRPr="00C4722E">
        <w:rPr>
          <w:rFonts w:ascii="Times New Roman" w:eastAsia="Calibri" w:hAnsi="Times New Roman" w:cs="Times New Roman"/>
          <w:bCs/>
          <w:i/>
          <w:sz w:val="24"/>
          <w:szCs w:val="24"/>
        </w:rPr>
        <w:t>“(…) La differenza tra l’appalto e la concessione di servizi è contenuta soprattutto dalla normativa comunitaria, che individua il discrimine tra le due figure soprattutto nel rischio operativo che deve sempre gravare sul concessionario, e che non sussiste allorché l’amministrazione pubblica si obbliga a coprire le eventuali perdite occorse nell’esercizio dell’attività esercitata comunque nell’interesse pubblico</w:t>
      </w:r>
      <w:r w:rsidRPr="00C4722E">
        <w:rPr>
          <w:rFonts w:ascii="Times New Roman" w:eastAsia="Calibri" w:hAnsi="Times New Roman" w:cs="Times New Roman"/>
          <w:bCs/>
          <w:sz w:val="24"/>
          <w:szCs w:val="24"/>
        </w:rPr>
        <w:t>(…)”.(TAR-Genova, sezione 2 sentenza 19 novembre 2014, n. 1670).</w:t>
      </w:r>
      <w:r w:rsidRPr="00C4722E">
        <w:rPr>
          <w:rFonts w:ascii="Times New Roman" w:eastAsia="Calibri" w:hAnsi="Times New Roman" w:cs="Times New Roman"/>
          <w:bCs/>
          <w:i/>
          <w:sz w:val="24"/>
          <w:szCs w:val="24"/>
        </w:rPr>
        <w:t xml:space="preserve"> </w:t>
      </w:r>
    </w:p>
    <w:p w:rsidR="00C4722E" w:rsidRPr="00C4722E" w:rsidRDefault="00C4722E" w:rsidP="00C4722E">
      <w:pPr>
        <w:spacing w:after="0" w:line="360" w:lineRule="auto"/>
        <w:ind w:left="1418" w:right="566"/>
        <w:jc w:val="both"/>
        <w:rPr>
          <w:rFonts w:ascii="Times New Roman" w:eastAsia="Calibri" w:hAnsi="Times New Roman" w:cs="Times New Roman"/>
          <w:bCs/>
          <w:sz w:val="24"/>
          <w:szCs w:val="24"/>
        </w:rPr>
      </w:pPr>
      <w:r w:rsidRPr="00C4722E">
        <w:rPr>
          <w:rFonts w:ascii="Times New Roman" w:eastAsia="Calibri" w:hAnsi="Times New Roman" w:cs="Times New Roman"/>
          <w:bCs/>
          <w:sz w:val="24"/>
          <w:szCs w:val="24"/>
        </w:rPr>
        <w:t xml:space="preserve">In buona sostanza, “(…) </w:t>
      </w:r>
      <w:r w:rsidRPr="00C4722E">
        <w:rPr>
          <w:rFonts w:ascii="Times New Roman" w:eastAsia="Calibri" w:hAnsi="Times New Roman" w:cs="Times New Roman"/>
          <w:bCs/>
          <w:i/>
          <w:sz w:val="24"/>
          <w:szCs w:val="24"/>
        </w:rPr>
        <w:t>la caratteristica principale di una concessione, ossia il diritto di gestire un lavoro o un servizio, implica sempre il trasferimento al concessionario di un rischio operativo di natura economica che comporta la possibilità di non riuscire a recuperare gli investimenti effettuati e i costi sostenuti per realizzare i lavori e i servizi</w:t>
      </w:r>
      <w:r w:rsidR="004C44AA">
        <w:rPr>
          <w:rFonts w:ascii="Times New Roman" w:eastAsia="Calibri" w:hAnsi="Times New Roman" w:cs="Times New Roman"/>
          <w:bCs/>
          <w:i/>
          <w:sz w:val="24"/>
          <w:szCs w:val="24"/>
        </w:rPr>
        <w:t xml:space="preserve"> </w:t>
      </w:r>
      <w:r w:rsidRPr="00C4722E">
        <w:rPr>
          <w:rFonts w:ascii="Times New Roman" w:eastAsia="Calibri" w:hAnsi="Times New Roman" w:cs="Times New Roman"/>
          <w:bCs/>
          <w:i/>
          <w:sz w:val="24"/>
          <w:szCs w:val="24"/>
        </w:rPr>
        <w:t>(…)”</w:t>
      </w:r>
      <w:r w:rsidRPr="00C4722E">
        <w:rPr>
          <w:rFonts w:ascii="Times New Roman" w:eastAsia="Calibri" w:hAnsi="Times New Roman" w:cs="Times New Roman"/>
          <w:bCs/>
          <w:sz w:val="24"/>
          <w:szCs w:val="24"/>
        </w:rPr>
        <w:t>(direttiva 2014/23/UE).</w:t>
      </w:r>
    </w:p>
    <w:p w:rsidR="00C4722E" w:rsidRPr="00C4722E" w:rsidRDefault="00C4722E" w:rsidP="00C4722E">
      <w:pPr>
        <w:spacing w:after="0" w:line="360" w:lineRule="auto"/>
        <w:ind w:left="1418" w:right="566"/>
        <w:jc w:val="both"/>
        <w:rPr>
          <w:rFonts w:ascii="Times New Roman" w:eastAsia="Calibri" w:hAnsi="Times New Roman" w:cs="Times New Roman"/>
          <w:b/>
          <w:bCs/>
          <w:sz w:val="24"/>
          <w:szCs w:val="24"/>
        </w:rPr>
      </w:pPr>
      <w:r w:rsidRPr="00C4722E">
        <w:rPr>
          <w:rFonts w:ascii="Times New Roman" w:eastAsia="Calibri" w:hAnsi="Times New Roman" w:cs="Times New Roman"/>
          <w:b/>
          <w:bCs/>
          <w:sz w:val="24"/>
          <w:szCs w:val="24"/>
        </w:rPr>
        <w:t>Orbene, la giurisprudenza in questo modo ha inteso chiarire che la concessione si distingue non tanto per il titolo provvedimentale dell’attività, né per la sua natura autoritativa rispetto a quella contrattuale dell’appalto, bensì per il fenomeno di traslazione vera e propria dell’alea inerente una certa attività in capo al soggetto privato (cfr., Adunanza Plenaria del Consiglio di Stato n.7 del 30 gennaio 2014).</w:t>
      </w:r>
    </w:p>
    <w:p w:rsidR="00C4722E" w:rsidRPr="00C4722E" w:rsidRDefault="00C4722E" w:rsidP="00C4722E">
      <w:pPr>
        <w:spacing w:after="0" w:line="360" w:lineRule="auto"/>
        <w:ind w:left="1418" w:right="566"/>
        <w:jc w:val="both"/>
        <w:rPr>
          <w:rFonts w:ascii="Times New Roman" w:eastAsia="Calibri" w:hAnsi="Times New Roman" w:cs="Times New Roman"/>
          <w:b/>
          <w:bCs/>
          <w:sz w:val="24"/>
          <w:szCs w:val="24"/>
          <w:u w:val="single"/>
        </w:rPr>
      </w:pPr>
    </w:p>
    <w:p w:rsidR="00C4722E" w:rsidRPr="00C4722E" w:rsidRDefault="00C4722E" w:rsidP="00C4722E">
      <w:pPr>
        <w:numPr>
          <w:ilvl w:val="1"/>
          <w:numId w:val="2"/>
        </w:numPr>
        <w:spacing w:after="0" w:line="360" w:lineRule="auto"/>
        <w:ind w:left="1418" w:right="566"/>
        <w:jc w:val="both"/>
        <w:rPr>
          <w:rFonts w:ascii="Times New Roman" w:eastAsia="Calibri" w:hAnsi="Times New Roman" w:cs="Times New Roman"/>
          <w:b/>
          <w:bCs/>
          <w:sz w:val="24"/>
          <w:szCs w:val="24"/>
        </w:rPr>
      </w:pPr>
      <w:r w:rsidRPr="00C4722E">
        <w:rPr>
          <w:rFonts w:ascii="Times New Roman" w:eastAsia="Calibri" w:hAnsi="Times New Roman" w:cs="Times New Roman"/>
          <w:b/>
          <w:bCs/>
          <w:sz w:val="24"/>
          <w:szCs w:val="24"/>
        </w:rPr>
        <w:t>l’impresa trae la propria remunerazione direttamente dall’utenza venendosi così a creare un vero e proprio rapporto trilaterale tra P.A. concedente, azienda concessionario e utente. Il concessionario, quindi, ottiene il proprio compenso non già dall’Amministrazione (come avviene nelle ipotesi in cui vi sia un appalto), ma dall’esterno, cioè dal pubblico che fruisce del servizio.</w:t>
      </w:r>
    </w:p>
    <w:p w:rsidR="00C4722E" w:rsidRPr="00C4722E" w:rsidRDefault="00C4722E" w:rsidP="00C4722E">
      <w:pPr>
        <w:spacing w:after="0" w:line="360" w:lineRule="auto"/>
        <w:ind w:left="1418" w:right="566"/>
        <w:jc w:val="both"/>
        <w:rPr>
          <w:rFonts w:ascii="Times New Roman" w:eastAsia="Calibri" w:hAnsi="Times New Roman" w:cs="Times New Roman"/>
          <w:bCs/>
          <w:sz w:val="24"/>
          <w:szCs w:val="24"/>
        </w:rPr>
      </w:pPr>
      <w:r w:rsidRPr="00C4722E">
        <w:rPr>
          <w:rFonts w:ascii="Times New Roman" w:eastAsia="Calibri" w:hAnsi="Times New Roman" w:cs="Times New Roman"/>
          <w:bCs/>
          <w:sz w:val="24"/>
          <w:szCs w:val="24"/>
        </w:rPr>
        <w:t xml:space="preserve">Ebbene, </w:t>
      </w:r>
      <w:r w:rsidRPr="00C4722E">
        <w:rPr>
          <w:rFonts w:ascii="Times New Roman" w:eastAsia="Calibri" w:hAnsi="Times New Roman" w:cs="Times New Roman"/>
          <w:bCs/>
          <w:i/>
          <w:sz w:val="24"/>
          <w:szCs w:val="24"/>
        </w:rPr>
        <w:t>“(…) si ha una concessione quando in base al titolo l'operatore si assume in concreto i rischi economici della gestione del servizio, rifacendosi essenzialmente sull'utenza per mezzo della riscossione di un qualsiasi tipo di canone o tariffa, mentre si ha appalto quando l'onere del servizio stesso viene a gravare sostanzialmente sull'Amministrazione”.</w:t>
      </w:r>
      <w:r w:rsidRPr="00C4722E">
        <w:rPr>
          <w:rFonts w:ascii="Times New Roman" w:eastAsia="Calibri" w:hAnsi="Times New Roman" w:cs="Times New Roman"/>
          <w:bCs/>
          <w:sz w:val="24"/>
          <w:szCs w:val="24"/>
        </w:rPr>
        <w:t xml:space="preserve"> (Consiglio di stato, sezione 5 sentenza 18 giugno 2015, sent. n. 3120)</w:t>
      </w:r>
      <w:r w:rsidRPr="00C4722E">
        <w:rPr>
          <w:rFonts w:ascii="Times New Roman" w:eastAsia="Calibri" w:hAnsi="Times New Roman" w:cs="Times New Roman"/>
          <w:bCs/>
          <w:iCs/>
          <w:sz w:val="24"/>
          <w:szCs w:val="24"/>
        </w:rPr>
        <w:t>.</w:t>
      </w:r>
      <w:r w:rsidRPr="00C4722E">
        <w:rPr>
          <w:rFonts w:ascii="Times New Roman" w:eastAsia="Calibri" w:hAnsi="Times New Roman" w:cs="Times New Roman"/>
          <w:bCs/>
          <w:sz w:val="24"/>
          <w:szCs w:val="24"/>
        </w:rPr>
        <w:t xml:space="preserve"> Invero, </w:t>
      </w:r>
      <w:r w:rsidRPr="00C4722E">
        <w:rPr>
          <w:rFonts w:ascii="Times New Roman" w:eastAsia="Calibri" w:hAnsi="Times New Roman" w:cs="Times New Roman"/>
          <w:bCs/>
          <w:i/>
          <w:sz w:val="24"/>
          <w:szCs w:val="24"/>
        </w:rPr>
        <w:t>“la qualificazione come concessione di servizio pubblico deriva dalla circostanza che il corrispettivo non è a carico dell'Amministrazione e che l'erogazione del servizio, accompagnata dalla corresponsione di un canone, è compensata dalla concessione del diritto di sfruttare economicamente, ed in esclusiva, il servizio”.</w:t>
      </w:r>
      <w:r w:rsidRPr="00C4722E">
        <w:rPr>
          <w:rFonts w:ascii="Times New Roman" w:eastAsia="Calibri" w:hAnsi="Times New Roman" w:cs="Times New Roman"/>
          <w:bCs/>
          <w:sz w:val="24"/>
          <w:szCs w:val="24"/>
        </w:rPr>
        <w:t xml:space="preserve"> (Consiglio di stato, sezione 3 ordinanza 12 maggio 2016, sent. n. 1927).</w:t>
      </w:r>
    </w:p>
    <w:p w:rsidR="00C4722E" w:rsidRPr="00C4722E" w:rsidRDefault="00C4722E" w:rsidP="00C4722E">
      <w:pPr>
        <w:spacing w:after="0" w:line="360" w:lineRule="auto"/>
        <w:ind w:left="1418" w:right="566"/>
        <w:jc w:val="both"/>
        <w:rPr>
          <w:rFonts w:ascii="Times New Roman" w:eastAsia="Calibri" w:hAnsi="Times New Roman" w:cs="Times New Roman"/>
          <w:bCs/>
          <w:sz w:val="24"/>
          <w:szCs w:val="24"/>
        </w:rPr>
      </w:pPr>
      <w:r w:rsidRPr="00C4722E">
        <w:rPr>
          <w:rFonts w:ascii="Times New Roman" w:eastAsia="Calibri" w:hAnsi="Times New Roman" w:cs="Times New Roman"/>
          <w:bCs/>
          <w:sz w:val="24"/>
          <w:szCs w:val="24"/>
        </w:rPr>
        <w:t>È la modalità della remunerazione, quindi, il tratto distintivo della concessione dall'appalto di servizi (dove, infatti, il rischio legato alla prestazione non viene trasferimento in capo al prestatore). (Cass., sezione 6 civile, ordinanza 6 maggio 2015, n. 9139).</w:t>
      </w:r>
    </w:p>
    <w:p w:rsidR="00C4722E" w:rsidRPr="00C4722E" w:rsidRDefault="00C4722E" w:rsidP="00C4722E">
      <w:pPr>
        <w:spacing w:after="0" w:line="360" w:lineRule="auto"/>
        <w:ind w:left="1418" w:right="566"/>
        <w:jc w:val="both"/>
        <w:rPr>
          <w:rFonts w:ascii="Times New Roman" w:eastAsia="Calibri" w:hAnsi="Times New Roman" w:cs="Times New Roman"/>
          <w:bCs/>
          <w:sz w:val="24"/>
          <w:szCs w:val="24"/>
        </w:rPr>
      </w:pPr>
      <w:r w:rsidRPr="00C4722E">
        <w:rPr>
          <w:rFonts w:ascii="Times New Roman" w:eastAsia="Calibri" w:hAnsi="Times New Roman" w:cs="Times New Roman"/>
          <w:bCs/>
          <w:sz w:val="24"/>
          <w:szCs w:val="24"/>
        </w:rPr>
        <w:t xml:space="preserve">Nella concessione di servizi la controprestazione a favore del concessionario consiste, dunque, unicamente nel diritto di gestire funzionalmente e di sfruttare economicamente il servizio; </w:t>
      </w:r>
      <w:r w:rsidRPr="00C4722E">
        <w:rPr>
          <w:rFonts w:ascii="Times New Roman" w:eastAsia="Calibri" w:hAnsi="Times New Roman" w:cs="Times New Roman"/>
          <w:b/>
          <w:bCs/>
          <w:sz w:val="24"/>
          <w:szCs w:val="24"/>
        </w:rPr>
        <w:t>l’elemento dirimente della concessione è costituito, infatti, dall’alea economica connessa alla gestione del servizio</w:t>
      </w:r>
      <w:r w:rsidRPr="00C4722E">
        <w:rPr>
          <w:rFonts w:ascii="Times New Roman" w:eastAsia="Calibri" w:hAnsi="Times New Roman" w:cs="Times New Roman"/>
          <w:bCs/>
          <w:sz w:val="24"/>
          <w:szCs w:val="24"/>
        </w:rPr>
        <w:t>.</w:t>
      </w:r>
      <w:r w:rsidRPr="00C4722E">
        <w:rPr>
          <w:rFonts w:ascii="Times New Roman" w:eastAsia="Calibri" w:hAnsi="Times New Roman" w:cs="Times New Roman"/>
          <w:bCs/>
          <w:i/>
          <w:sz w:val="24"/>
          <w:szCs w:val="24"/>
        </w:rPr>
        <w:t xml:space="preserve"> “(…) Il diritto di gestione permette al concessionario di percepire per un tempo determinato alcuni diritti derivanti dalla gestione che costituiscono il corrispettivo dell'operazione, sopportando, in conseguenza l'alea legata all'aspetto finanziario dell'operazione la cui controprestazione dipende dal comportamento degli utenti del servizio(…)”. </w:t>
      </w:r>
      <w:r w:rsidRPr="00C4722E">
        <w:rPr>
          <w:rFonts w:ascii="Times New Roman" w:eastAsia="Calibri" w:hAnsi="Times New Roman" w:cs="Times New Roman"/>
          <w:bCs/>
          <w:sz w:val="24"/>
          <w:szCs w:val="24"/>
        </w:rPr>
        <w:t>(T.a.r. puglia, i, sentenza 25.2.2010, n. 680).</w:t>
      </w:r>
    </w:p>
    <w:p w:rsidR="00C4722E" w:rsidRPr="00C4722E" w:rsidRDefault="00C4722E" w:rsidP="00C4722E">
      <w:pPr>
        <w:spacing w:after="0" w:line="360" w:lineRule="auto"/>
        <w:ind w:left="1418" w:right="566"/>
        <w:jc w:val="both"/>
        <w:rPr>
          <w:rFonts w:ascii="Times New Roman" w:eastAsia="Calibri" w:hAnsi="Times New Roman" w:cs="Times New Roman"/>
          <w:bCs/>
          <w:iCs/>
          <w:sz w:val="24"/>
          <w:szCs w:val="24"/>
        </w:rPr>
      </w:pPr>
      <w:r w:rsidRPr="00C4722E">
        <w:rPr>
          <w:rFonts w:ascii="Times New Roman" w:eastAsia="Calibri" w:hAnsi="Times New Roman" w:cs="Times New Roman"/>
          <w:bCs/>
          <w:sz w:val="24"/>
          <w:szCs w:val="24"/>
        </w:rPr>
        <w:t>In definitiva, “</w:t>
      </w:r>
      <w:r w:rsidRPr="00C4722E">
        <w:rPr>
          <w:rFonts w:ascii="Times New Roman" w:eastAsia="Calibri" w:hAnsi="Times New Roman" w:cs="Times New Roman"/>
          <w:bCs/>
          <w:i/>
          <w:iCs/>
          <w:sz w:val="24"/>
          <w:szCs w:val="24"/>
        </w:rPr>
        <w:t xml:space="preserve">Il concessionario - a differenza di quanto avviene nell'appalto di servizi (nell'ambito del quale l'Amministrazione riceve dal contraente una </w:t>
      </w:r>
      <w:r w:rsidRPr="00C4722E">
        <w:rPr>
          <w:rFonts w:ascii="Times New Roman" w:eastAsia="Calibri" w:hAnsi="Times New Roman" w:cs="Times New Roman"/>
          <w:bCs/>
          <w:i/>
          <w:iCs/>
          <w:sz w:val="24"/>
          <w:szCs w:val="24"/>
        </w:rPr>
        <w:lastRenderedPageBreak/>
        <w:t xml:space="preserve">prestazione ad essa destinata, in cambio di un corrispettivo) - ottiene il proprio compenso non già dall'Amministrazione ma dall'esterno, ovvero dal pubblico che fruisce del servizio stesso, svolto dall'impresa con assetto organizzativo autonomo e con strumenti privatistici, come è usuale per i servizi alimentari, come quello in esame. </w:t>
      </w:r>
      <w:r w:rsidRPr="00C4722E">
        <w:rPr>
          <w:rFonts w:ascii="Times New Roman" w:eastAsia="Calibri" w:hAnsi="Times New Roman" w:cs="Times New Roman"/>
          <w:b/>
          <w:bCs/>
          <w:i/>
          <w:iCs/>
          <w:sz w:val="24"/>
          <w:szCs w:val="24"/>
        </w:rPr>
        <w:t>Sul piano economico, il rapporto complessivo è dunque trilaterale, poiché coinvolge l'Amministrazione concedente</w:t>
      </w:r>
      <w:r w:rsidRPr="00C4722E">
        <w:rPr>
          <w:rFonts w:ascii="Times New Roman" w:eastAsia="Calibri" w:hAnsi="Times New Roman" w:cs="Times New Roman"/>
          <w:bCs/>
          <w:i/>
          <w:iCs/>
          <w:sz w:val="24"/>
          <w:szCs w:val="24"/>
        </w:rPr>
        <w:t xml:space="preserve"> (che resta titolare della funzione trasferita), </w:t>
      </w:r>
      <w:r w:rsidRPr="00C4722E">
        <w:rPr>
          <w:rFonts w:ascii="Times New Roman" w:eastAsia="Calibri" w:hAnsi="Times New Roman" w:cs="Times New Roman"/>
          <w:b/>
          <w:bCs/>
          <w:i/>
          <w:iCs/>
          <w:sz w:val="24"/>
          <w:szCs w:val="24"/>
        </w:rPr>
        <w:t>il concessionario e il pubblico</w:t>
      </w:r>
      <w:r w:rsidRPr="00C4722E">
        <w:rPr>
          <w:rFonts w:ascii="Times New Roman" w:eastAsia="Calibri" w:hAnsi="Times New Roman" w:cs="Times New Roman"/>
          <w:bCs/>
          <w:i/>
          <w:iCs/>
          <w:sz w:val="24"/>
          <w:szCs w:val="24"/>
        </w:rPr>
        <w:t>. Il concessionario utilizza quanto ottiene in concessione (nel caso specie: il servizio con l'utilizzo di spazi interni alla sede dell'ente pubblico) a fini legittimi di lucro, assumendo - come richiede il diritto europeo - il rischio economico connesso alla gestione del servizio, svolto con mezzi propri; per godere delle risorse materiali appartenenti all'Amministrazione, il medesimo normalmente corrisponde un canone e non riceve dall'Amministrazione alcun corrispettivo. In conformità all'art. 30 del Codice dei contratti pubblici, infatti, "la controprestazione [dell'Amministrazione] a favore del concessionario consiste unicamente nel diritto [dato al concessionario] di gestire funzionalmente e di sfruttare economicamente [verso il pubblico] il servizio".</w:t>
      </w:r>
      <w:r w:rsidRPr="00C4722E">
        <w:rPr>
          <w:rFonts w:ascii="Times New Roman" w:eastAsia="Calibri" w:hAnsi="Times New Roman" w:cs="Times New Roman"/>
          <w:bCs/>
          <w:sz w:val="24"/>
          <w:szCs w:val="24"/>
        </w:rPr>
        <w:t xml:space="preserve"> </w:t>
      </w:r>
      <w:r w:rsidRPr="00C4722E">
        <w:rPr>
          <w:rFonts w:ascii="Times New Roman" w:eastAsia="Calibri" w:hAnsi="Times New Roman" w:cs="Times New Roman"/>
          <w:bCs/>
          <w:iCs/>
          <w:sz w:val="24"/>
          <w:szCs w:val="24"/>
        </w:rPr>
        <w:t>(Consiglio di stato, sezione 6 sentenza 16 luglio 2015, n. 3571).</w:t>
      </w:r>
    </w:p>
    <w:p w:rsidR="00C4722E" w:rsidRPr="00C4722E" w:rsidRDefault="00C4722E" w:rsidP="00C4722E">
      <w:pPr>
        <w:spacing w:after="0" w:line="360" w:lineRule="auto"/>
        <w:ind w:left="567" w:right="566"/>
        <w:jc w:val="both"/>
        <w:rPr>
          <w:rFonts w:ascii="Times New Roman" w:eastAsia="Calibri" w:hAnsi="Times New Roman" w:cs="Times New Roman"/>
          <w:bCs/>
          <w:sz w:val="24"/>
          <w:szCs w:val="24"/>
        </w:rPr>
      </w:pPr>
    </w:p>
    <w:p w:rsidR="00C4722E" w:rsidRPr="00C4722E" w:rsidRDefault="00C4722E" w:rsidP="00C4722E">
      <w:pPr>
        <w:numPr>
          <w:ilvl w:val="0"/>
          <w:numId w:val="6"/>
        </w:numPr>
        <w:spacing w:after="0" w:line="360" w:lineRule="auto"/>
        <w:ind w:left="567" w:right="566"/>
        <w:jc w:val="both"/>
        <w:rPr>
          <w:rFonts w:ascii="Times New Roman" w:eastAsia="Calibri" w:hAnsi="Times New Roman" w:cs="Times New Roman"/>
          <w:b/>
          <w:bCs/>
          <w:sz w:val="24"/>
          <w:szCs w:val="24"/>
          <w:u w:val="single"/>
        </w:rPr>
      </w:pPr>
      <w:r w:rsidRPr="00C4722E">
        <w:rPr>
          <w:rFonts w:ascii="Times New Roman" w:eastAsia="Calibri" w:hAnsi="Times New Roman" w:cs="Times New Roman"/>
          <w:b/>
          <w:bCs/>
          <w:sz w:val="24"/>
          <w:szCs w:val="24"/>
          <w:u w:val="single"/>
        </w:rPr>
        <w:t>“appalto” tutte le volte in cui:</w:t>
      </w:r>
    </w:p>
    <w:p w:rsidR="00C4722E" w:rsidRPr="00C4722E" w:rsidRDefault="00C4722E" w:rsidP="00C4722E">
      <w:pPr>
        <w:numPr>
          <w:ilvl w:val="0"/>
          <w:numId w:val="4"/>
        </w:numPr>
        <w:spacing w:after="0" w:line="360" w:lineRule="auto"/>
        <w:ind w:left="1418" w:right="566"/>
        <w:jc w:val="both"/>
        <w:rPr>
          <w:rFonts w:ascii="Times New Roman" w:eastAsia="Calibri" w:hAnsi="Times New Roman" w:cs="Times New Roman"/>
          <w:b/>
          <w:bCs/>
          <w:sz w:val="24"/>
          <w:szCs w:val="24"/>
        </w:rPr>
      </w:pPr>
      <w:r w:rsidRPr="00C4722E">
        <w:rPr>
          <w:rFonts w:ascii="Times New Roman" w:eastAsia="Calibri" w:hAnsi="Times New Roman" w:cs="Times New Roman"/>
          <w:b/>
          <w:bCs/>
          <w:sz w:val="24"/>
          <w:szCs w:val="24"/>
        </w:rPr>
        <w:t xml:space="preserve">il rischio e l’onere del servizio continuano a permanere in capo all’Amministrazione venendosi così a costituire un rapporto di natura bilaterale tra P.A. e appaltatore. </w:t>
      </w:r>
    </w:p>
    <w:p w:rsidR="00C4722E" w:rsidRPr="00C4722E" w:rsidRDefault="00C4722E" w:rsidP="00C4722E">
      <w:pPr>
        <w:spacing w:after="0" w:line="360" w:lineRule="auto"/>
        <w:ind w:left="1418" w:right="566"/>
        <w:jc w:val="both"/>
        <w:rPr>
          <w:rFonts w:ascii="Times New Roman" w:eastAsia="Calibri" w:hAnsi="Times New Roman" w:cs="Times New Roman"/>
          <w:bCs/>
          <w:sz w:val="24"/>
          <w:szCs w:val="24"/>
        </w:rPr>
      </w:pPr>
      <w:r w:rsidRPr="00C4722E">
        <w:rPr>
          <w:rFonts w:ascii="Times New Roman" w:eastAsia="Calibri" w:hAnsi="Times New Roman" w:cs="Times New Roman"/>
          <w:bCs/>
          <w:sz w:val="24"/>
          <w:szCs w:val="24"/>
        </w:rPr>
        <w:t>Invero, “</w:t>
      </w:r>
      <w:r w:rsidRPr="00C4722E">
        <w:rPr>
          <w:rFonts w:ascii="Times New Roman" w:eastAsia="Calibri" w:hAnsi="Times New Roman" w:cs="Times New Roman"/>
          <w:bCs/>
          <w:i/>
          <w:sz w:val="24"/>
          <w:szCs w:val="24"/>
        </w:rPr>
        <w:t xml:space="preserve">Ai fini dell'ordinamento comunitario la linea di demarcazione tra appalti pubblici di servizi e concessioni di servizi (per il resto accomunati sia dall'identica qualificazione in termini di "contratti" che dall'omologia dell'oggetto materiale dell'affidamento) è netta, poiché </w:t>
      </w:r>
      <w:r w:rsidRPr="00C4722E">
        <w:rPr>
          <w:rFonts w:ascii="Times New Roman" w:eastAsia="Calibri" w:hAnsi="Times New Roman" w:cs="Times New Roman"/>
          <w:b/>
          <w:bCs/>
          <w:i/>
          <w:sz w:val="24"/>
          <w:szCs w:val="24"/>
        </w:rPr>
        <w:t>l'appalto pubblico di servizi</w:t>
      </w:r>
      <w:r w:rsidRPr="00C4722E">
        <w:rPr>
          <w:rFonts w:ascii="Times New Roman" w:eastAsia="Calibri" w:hAnsi="Times New Roman" w:cs="Times New Roman"/>
          <w:bCs/>
          <w:i/>
          <w:sz w:val="24"/>
          <w:szCs w:val="24"/>
        </w:rPr>
        <w:t xml:space="preserve">, a differenza della concessione di servizi, </w:t>
      </w:r>
      <w:r w:rsidRPr="00C4722E">
        <w:rPr>
          <w:rFonts w:ascii="Times New Roman" w:eastAsia="Calibri" w:hAnsi="Times New Roman" w:cs="Times New Roman"/>
          <w:b/>
          <w:bCs/>
          <w:i/>
          <w:sz w:val="24"/>
          <w:szCs w:val="24"/>
        </w:rPr>
        <w:t>riguarda di regola servizi resi alla pubblica amministrazione e non al pubblico degli utenti, non comporta il trasferimento del diritto di gestione quale controprestazione, ed infine non determina, in ragione delle modalità di remunerazione, l'assunzione del rischio di gestione da parte dell'affidatario</w:t>
      </w:r>
      <w:r w:rsidRPr="00C4722E">
        <w:rPr>
          <w:rFonts w:ascii="Times New Roman" w:eastAsia="Calibri" w:hAnsi="Times New Roman" w:cs="Times New Roman"/>
          <w:bCs/>
          <w:sz w:val="24"/>
          <w:szCs w:val="24"/>
        </w:rPr>
        <w:t xml:space="preserve">…(…)”, (cfr., in tal senso, </w:t>
      </w:r>
      <w:r w:rsidRPr="00C4722E">
        <w:rPr>
          <w:rFonts w:ascii="Times New Roman" w:eastAsia="Calibri" w:hAnsi="Times New Roman" w:cs="Times New Roman"/>
          <w:bCs/>
          <w:iCs/>
          <w:sz w:val="24"/>
          <w:szCs w:val="24"/>
        </w:rPr>
        <w:t>Consiglio di Stato, sezione 6, sentenza 4 settembre 2012, n. 4682 e</w:t>
      </w:r>
      <w:r w:rsidRPr="00C4722E">
        <w:rPr>
          <w:rFonts w:ascii="Times New Roman" w:eastAsia="Calibri" w:hAnsi="Times New Roman" w:cs="Times New Roman"/>
          <w:bCs/>
          <w:sz w:val="24"/>
          <w:szCs w:val="24"/>
        </w:rPr>
        <w:t xml:space="preserve"> Cass., sezione 6 civile, ord. 6 maggio 2015, n. 9139)</w:t>
      </w:r>
    </w:p>
    <w:p w:rsidR="00C4722E" w:rsidRPr="00C4722E" w:rsidRDefault="00C4722E" w:rsidP="00C4722E">
      <w:pPr>
        <w:spacing w:after="0" w:line="360" w:lineRule="auto"/>
        <w:ind w:left="1418" w:right="566"/>
        <w:jc w:val="both"/>
        <w:rPr>
          <w:rFonts w:ascii="Times New Roman" w:eastAsia="Calibri" w:hAnsi="Times New Roman" w:cs="Times New Roman"/>
          <w:b/>
          <w:bCs/>
          <w:sz w:val="24"/>
          <w:szCs w:val="24"/>
        </w:rPr>
      </w:pPr>
    </w:p>
    <w:p w:rsidR="00C4722E" w:rsidRPr="00C4722E" w:rsidRDefault="00C4722E" w:rsidP="00C4722E">
      <w:pPr>
        <w:numPr>
          <w:ilvl w:val="0"/>
          <w:numId w:val="4"/>
        </w:numPr>
        <w:spacing w:after="0" w:line="360" w:lineRule="auto"/>
        <w:ind w:left="1418" w:right="566"/>
        <w:jc w:val="both"/>
        <w:rPr>
          <w:rFonts w:ascii="Times New Roman" w:eastAsia="Calibri" w:hAnsi="Times New Roman" w:cs="Times New Roman"/>
          <w:b/>
          <w:bCs/>
          <w:sz w:val="24"/>
          <w:szCs w:val="24"/>
        </w:rPr>
      </w:pPr>
      <w:r w:rsidRPr="00C4722E">
        <w:rPr>
          <w:rFonts w:ascii="Times New Roman" w:eastAsia="Calibri" w:hAnsi="Times New Roman" w:cs="Times New Roman"/>
          <w:b/>
          <w:bCs/>
          <w:sz w:val="24"/>
          <w:szCs w:val="24"/>
        </w:rPr>
        <w:t>l'imprenditore ottiene dall'Amministrazione aggiudicatrice il compenso pattuito, e non ha necessità di avere rapporti negoziali con i reali utenti finali del servizio offerto</w:t>
      </w:r>
      <w:r w:rsidRPr="00C4722E">
        <w:rPr>
          <w:rFonts w:ascii="Times New Roman" w:eastAsia="Calibri" w:hAnsi="Times New Roman" w:cs="Times New Roman"/>
          <w:b/>
          <w:bCs/>
          <w:i/>
          <w:sz w:val="24"/>
          <w:szCs w:val="24"/>
        </w:rPr>
        <w:t xml:space="preserve">; </w:t>
      </w:r>
      <w:r w:rsidRPr="00C4722E">
        <w:rPr>
          <w:rFonts w:ascii="Times New Roman" w:eastAsia="Calibri" w:hAnsi="Times New Roman" w:cs="Times New Roman"/>
          <w:b/>
          <w:bCs/>
          <w:iCs/>
          <w:sz w:val="24"/>
          <w:szCs w:val="24"/>
        </w:rPr>
        <w:t xml:space="preserve">l'onere del servizio stesso viene, dunque, a gravare sostanzialmente sull'Amministrazione </w:t>
      </w:r>
      <w:r w:rsidRPr="00C4722E">
        <w:rPr>
          <w:rFonts w:ascii="Times New Roman" w:eastAsia="Calibri" w:hAnsi="Times New Roman" w:cs="Times New Roman"/>
          <w:bCs/>
          <w:sz w:val="24"/>
          <w:szCs w:val="24"/>
        </w:rPr>
        <w:t>(cfr., in tal seno, Cons. di St., IV, 13.3.2014, n. 1243, nonché T.A.R. Puglia, I, 25.2.2010, n. 680, e T.A.R. Liguria - genova, sezione 2, sentenza 19 marzo 2015, n. 323).</w:t>
      </w:r>
    </w:p>
    <w:p w:rsidR="00C4722E" w:rsidRPr="00C4722E" w:rsidRDefault="00C4722E" w:rsidP="00C4722E">
      <w:pPr>
        <w:spacing w:after="0" w:line="360" w:lineRule="auto"/>
        <w:ind w:left="1418" w:right="566"/>
        <w:jc w:val="both"/>
        <w:rPr>
          <w:rFonts w:ascii="Times New Roman" w:eastAsia="Calibri" w:hAnsi="Times New Roman" w:cs="Times New Roman"/>
          <w:b/>
          <w:bCs/>
          <w:sz w:val="24"/>
          <w:szCs w:val="24"/>
        </w:rPr>
      </w:pPr>
    </w:p>
    <w:p w:rsidR="00C4722E" w:rsidRPr="00C4722E" w:rsidRDefault="00C4722E" w:rsidP="00C4722E">
      <w:pPr>
        <w:spacing w:after="0" w:line="360" w:lineRule="auto"/>
        <w:ind w:left="567" w:right="566"/>
        <w:jc w:val="both"/>
        <w:rPr>
          <w:rFonts w:ascii="Times New Roman" w:eastAsia="Calibri" w:hAnsi="Times New Roman" w:cs="Times New Roman"/>
          <w:bCs/>
          <w:sz w:val="24"/>
          <w:szCs w:val="24"/>
        </w:rPr>
      </w:pPr>
      <w:r w:rsidRPr="00C4722E">
        <w:rPr>
          <w:rFonts w:ascii="Times New Roman" w:eastAsia="Calibri" w:hAnsi="Times New Roman" w:cs="Times New Roman"/>
          <w:bCs/>
          <w:sz w:val="24"/>
          <w:szCs w:val="24"/>
        </w:rPr>
        <w:t xml:space="preserve">Ciò posto, può concludersi che, per consolidato orientamento giurisprudenziale, si ha concessione quando l’operatore si assume in concreto i rischi economici della gestione del servizio, rifacendosi essenzialmente sull’utenza per mezzo della riscossione di un qualsiasi tipo di canone o tariffa, mentre si ha appalto quando l’onere del servizio stesso viene a gravare sostanzialmente sull’amministrazione (in tal senso, ex plurimis: Consiglio di Stato, sent. nn. 4682/2012; 5068/2011; 3377/2011). </w:t>
      </w:r>
    </w:p>
    <w:p w:rsidR="00C4722E" w:rsidRPr="00C4722E" w:rsidRDefault="00C4722E" w:rsidP="00C4722E">
      <w:pPr>
        <w:spacing w:after="0" w:line="360" w:lineRule="auto"/>
        <w:ind w:left="567" w:right="566"/>
        <w:jc w:val="both"/>
        <w:rPr>
          <w:rFonts w:ascii="Times New Roman" w:eastAsia="Calibri" w:hAnsi="Times New Roman" w:cs="Times New Roman"/>
          <w:b/>
          <w:bCs/>
          <w:sz w:val="24"/>
          <w:szCs w:val="24"/>
        </w:rPr>
      </w:pPr>
      <w:r w:rsidRPr="00C4722E">
        <w:rPr>
          <w:rFonts w:ascii="Times New Roman" w:eastAsia="Calibri" w:hAnsi="Times New Roman" w:cs="Times New Roman"/>
          <w:b/>
          <w:bCs/>
          <w:sz w:val="24"/>
          <w:szCs w:val="24"/>
        </w:rPr>
        <w:t>Gli approdi sopra ricordati conducono, pertanto, a ravvisare nella soggezione al rischio di impresa e alla conseguente modalità di remunerazione gli elementi discriminanti della concessione rispetto a quelli dell’appalto.</w:t>
      </w:r>
    </w:p>
    <w:p w:rsidR="00C4722E" w:rsidRPr="00217819" w:rsidRDefault="00C4722E" w:rsidP="00C4722E">
      <w:pPr>
        <w:spacing w:after="0" w:line="360" w:lineRule="auto"/>
        <w:ind w:left="567" w:right="566"/>
        <w:jc w:val="both"/>
        <w:rPr>
          <w:rFonts w:ascii="Times New Roman" w:eastAsia="Calibri" w:hAnsi="Times New Roman" w:cs="Times New Roman"/>
          <w:b/>
          <w:bCs/>
          <w:sz w:val="24"/>
          <w:szCs w:val="24"/>
        </w:rPr>
      </w:pPr>
      <w:r w:rsidRPr="00C4722E">
        <w:rPr>
          <w:rFonts w:ascii="Times New Roman" w:eastAsia="Calibri" w:hAnsi="Times New Roman" w:cs="Times New Roman"/>
          <w:b/>
          <w:bCs/>
          <w:sz w:val="24"/>
          <w:szCs w:val="24"/>
        </w:rPr>
        <w:t xml:space="preserve">In buona sostanza, in sede di dichiarazione Irap sarà fondamentale capire se l’impresa in questione abbia le caratteristiche di una impresa “in concessione traslativa e a tariffa” o, al contrario, di un’impresa appaltatrice di servizi posto che nel primo caso, non si potrà usufruire delle deduzioni ex art. 11 d.lgs n.446/1997(fino al 31.12.2014), mentre nel secondo, sì. Può, infatti, concludersi che, la giurisprudenza (chiamata ad affinare i contorni della “chiave” interpretativa proposta dall’Agenzia delle Entrate), soffermandosi preliminarmente sulla natura giuridica del contratto, ha affermato che </w:t>
      </w:r>
      <w:r w:rsidRPr="00217819">
        <w:rPr>
          <w:rFonts w:ascii="Times New Roman" w:eastAsia="Calibri" w:hAnsi="Times New Roman" w:cs="Times New Roman"/>
          <w:b/>
          <w:bCs/>
          <w:sz w:val="24"/>
          <w:szCs w:val="24"/>
        </w:rPr>
        <w:t>il diritto alle agevolazioni (e cioè alle deduzioni in sede di dichiarazione Irap) in questione, deve riconoscersi solo in capo alle società che espletano servizi in favore di enti pubblici mediante contratti riconducibili nell’alveo degli appalti e non in quello delle concessioni (in tal senso cfr. CTP Brescia sent. n.62/2012; CTP Venezia sent. n.131/2011).</w:t>
      </w:r>
    </w:p>
    <w:p w:rsidR="00C4722E" w:rsidRPr="00C4722E" w:rsidRDefault="00C4722E" w:rsidP="00C4722E">
      <w:pPr>
        <w:spacing w:after="0" w:line="360" w:lineRule="auto"/>
        <w:ind w:left="567" w:right="566"/>
        <w:jc w:val="both"/>
        <w:rPr>
          <w:rFonts w:ascii="Times New Roman" w:eastAsia="Calibri" w:hAnsi="Times New Roman" w:cs="Times New Roman"/>
          <w:b/>
          <w:bCs/>
          <w:sz w:val="24"/>
          <w:szCs w:val="24"/>
          <w:u w:val="single"/>
        </w:rPr>
      </w:pPr>
    </w:p>
    <w:p w:rsidR="00817FFD" w:rsidRPr="00C4722E" w:rsidRDefault="001C25F8" w:rsidP="00C4722E">
      <w:pPr>
        <w:spacing w:line="360" w:lineRule="auto"/>
        <w:ind w:left="567" w:right="566"/>
        <w:jc w:val="both"/>
        <w:rPr>
          <w:rFonts w:ascii="Times New Roman" w:hAnsi="Times New Roman" w:cs="Times New Roman"/>
          <w:sz w:val="24"/>
          <w:szCs w:val="24"/>
        </w:rPr>
      </w:pPr>
      <w:r w:rsidRPr="00C4722E">
        <w:rPr>
          <w:rFonts w:ascii="Times New Roman" w:hAnsi="Times New Roman" w:cs="Times New Roman"/>
          <w:sz w:val="24"/>
          <w:szCs w:val="24"/>
        </w:rPr>
        <w:t xml:space="preserve">Ebbene, </w:t>
      </w:r>
      <w:r w:rsidR="00C4722E" w:rsidRPr="00C4722E">
        <w:rPr>
          <w:rFonts w:ascii="Times New Roman" w:hAnsi="Times New Roman" w:cs="Times New Roman"/>
          <w:sz w:val="24"/>
          <w:szCs w:val="24"/>
        </w:rPr>
        <w:t xml:space="preserve">venendo al caso di specie, </w:t>
      </w:r>
      <w:r w:rsidR="007A4BC5" w:rsidRPr="00C4722E">
        <w:rPr>
          <w:rFonts w:ascii="Times New Roman" w:hAnsi="Times New Roman" w:cs="Times New Roman"/>
          <w:sz w:val="24"/>
          <w:szCs w:val="24"/>
        </w:rPr>
        <w:t>i</w:t>
      </w:r>
      <w:r w:rsidR="00817FFD" w:rsidRPr="00C4722E">
        <w:rPr>
          <w:rFonts w:ascii="Times New Roman" w:hAnsi="Times New Roman" w:cs="Times New Roman"/>
          <w:sz w:val="24"/>
          <w:szCs w:val="24"/>
        </w:rPr>
        <w:t xml:space="preserve"> giudici tributari</w:t>
      </w:r>
      <w:r w:rsidR="00C4722E" w:rsidRPr="00C4722E">
        <w:rPr>
          <w:rFonts w:ascii="Times New Roman" w:hAnsi="Times New Roman" w:cs="Times New Roman"/>
          <w:sz w:val="24"/>
          <w:szCs w:val="24"/>
        </w:rPr>
        <w:t xml:space="preserve"> leccesi, aderendo agli approdi raggiunti dalla giurisprudenza citata,</w:t>
      </w:r>
      <w:r w:rsidR="00C4722E">
        <w:rPr>
          <w:rFonts w:ascii="Times New Roman" w:hAnsi="Times New Roman" w:cs="Times New Roman"/>
          <w:sz w:val="24"/>
          <w:szCs w:val="24"/>
        </w:rPr>
        <w:t xml:space="preserve"> </w:t>
      </w:r>
      <w:r w:rsidR="00817FFD" w:rsidRPr="00C4722E">
        <w:rPr>
          <w:rFonts w:ascii="Times New Roman" w:hAnsi="Times New Roman" w:cs="Times New Roman"/>
          <w:sz w:val="24"/>
          <w:szCs w:val="24"/>
        </w:rPr>
        <w:t xml:space="preserve">hanno </w:t>
      </w:r>
      <w:r w:rsidR="00554AD9" w:rsidRPr="00C4722E">
        <w:rPr>
          <w:rFonts w:ascii="Times New Roman" w:hAnsi="Times New Roman" w:cs="Times New Roman"/>
          <w:sz w:val="24"/>
          <w:szCs w:val="24"/>
        </w:rPr>
        <w:t xml:space="preserve">annullato gli avvisi di accertamento, </w:t>
      </w:r>
      <w:r w:rsidR="00817FFD" w:rsidRPr="00C4722E">
        <w:rPr>
          <w:rFonts w:ascii="Times New Roman" w:hAnsi="Times New Roman" w:cs="Times New Roman"/>
          <w:sz w:val="24"/>
          <w:szCs w:val="24"/>
        </w:rPr>
        <w:t>rileva</w:t>
      </w:r>
      <w:r w:rsidR="00554AD9" w:rsidRPr="00C4722E">
        <w:rPr>
          <w:rFonts w:ascii="Times New Roman" w:hAnsi="Times New Roman" w:cs="Times New Roman"/>
          <w:sz w:val="24"/>
          <w:szCs w:val="24"/>
        </w:rPr>
        <w:t>nd</w:t>
      </w:r>
      <w:r w:rsidR="00817FFD" w:rsidRPr="00C4722E">
        <w:rPr>
          <w:rFonts w:ascii="Times New Roman" w:hAnsi="Times New Roman" w:cs="Times New Roman"/>
          <w:sz w:val="24"/>
          <w:szCs w:val="24"/>
        </w:rPr>
        <w:t xml:space="preserve">o che le due società </w:t>
      </w:r>
      <w:r w:rsidR="008F6F6C">
        <w:rPr>
          <w:rFonts w:ascii="Times New Roman" w:hAnsi="Times New Roman" w:cs="Times New Roman"/>
          <w:sz w:val="24"/>
          <w:szCs w:val="24"/>
        </w:rPr>
        <w:t xml:space="preserve">avevano </w:t>
      </w:r>
      <w:r w:rsidR="00817FFD" w:rsidRPr="00C4722E">
        <w:rPr>
          <w:rFonts w:ascii="Times New Roman" w:hAnsi="Times New Roman" w:cs="Times New Roman"/>
          <w:sz w:val="24"/>
          <w:szCs w:val="24"/>
        </w:rPr>
        <w:t>effettua</w:t>
      </w:r>
      <w:r w:rsidR="008F6F6C">
        <w:rPr>
          <w:rFonts w:ascii="Times New Roman" w:hAnsi="Times New Roman" w:cs="Times New Roman"/>
          <w:sz w:val="24"/>
          <w:szCs w:val="24"/>
        </w:rPr>
        <w:t>t</w:t>
      </w:r>
      <w:r w:rsidR="00817FFD" w:rsidRPr="00C4722E">
        <w:rPr>
          <w:rFonts w:ascii="Times New Roman" w:hAnsi="Times New Roman" w:cs="Times New Roman"/>
          <w:sz w:val="24"/>
          <w:szCs w:val="24"/>
        </w:rPr>
        <w:t>o il servizio di raccolta e s</w:t>
      </w:r>
      <w:r w:rsidR="00554AD9" w:rsidRPr="00C4722E">
        <w:rPr>
          <w:rFonts w:ascii="Times New Roman" w:hAnsi="Times New Roman" w:cs="Times New Roman"/>
          <w:sz w:val="24"/>
          <w:szCs w:val="24"/>
        </w:rPr>
        <w:t>maltimento dei rifiuti urbani</w:t>
      </w:r>
      <w:r w:rsidR="00817FFD" w:rsidRPr="00C4722E">
        <w:rPr>
          <w:rFonts w:ascii="Times New Roman" w:hAnsi="Times New Roman" w:cs="Times New Roman"/>
          <w:sz w:val="24"/>
          <w:szCs w:val="24"/>
        </w:rPr>
        <w:t xml:space="preserve"> in regime di appalto e non di concessione, per cui nei loro confronti </w:t>
      </w:r>
      <w:r w:rsidR="00955507" w:rsidRPr="00C4722E">
        <w:rPr>
          <w:rFonts w:ascii="Times New Roman" w:hAnsi="Times New Roman" w:cs="Times New Roman"/>
          <w:sz w:val="24"/>
          <w:szCs w:val="24"/>
        </w:rPr>
        <w:t>erano</w:t>
      </w:r>
      <w:r w:rsidR="00A97A34" w:rsidRPr="00C4722E">
        <w:rPr>
          <w:rFonts w:ascii="Times New Roman" w:hAnsi="Times New Roman" w:cs="Times New Roman"/>
          <w:sz w:val="24"/>
          <w:szCs w:val="24"/>
        </w:rPr>
        <w:t xml:space="preserve"> </w:t>
      </w:r>
      <w:r w:rsidR="00A97A34" w:rsidRPr="00C4722E">
        <w:rPr>
          <w:rFonts w:ascii="Times New Roman" w:hAnsi="Times New Roman" w:cs="Times New Roman"/>
          <w:sz w:val="24"/>
          <w:szCs w:val="24"/>
        </w:rPr>
        <w:lastRenderedPageBreak/>
        <w:t>state correttamente applicate</w:t>
      </w:r>
      <w:r w:rsidR="00817FFD" w:rsidRPr="00C4722E">
        <w:rPr>
          <w:rFonts w:ascii="Times New Roman" w:hAnsi="Times New Roman" w:cs="Times New Roman"/>
          <w:sz w:val="24"/>
          <w:szCs w:val="24"/>
        </w:rPr>
        <w:t xml:space="preserve"> le deduzioni IRAP in presenza di personale dipendente impiegato a tempo indeterminato (art. 11, lettera a), D.Lgs. n. 446/97).</w:t>
      </w:r>
      <w:r w:rsidR="007A4BC5" w:rsidRPr="00C4722E">
        <w:rPr>
          <w:rFonts w:ascii="Times New Roman" w:hAnsi="Times New Roman" w:cs="Times New Roman"/>
          <w:sz w:val="24"/>
          <w:szCs w:val="24"/>
        </w:rPr>
        <w:t xml:space="preserve"> </w:t>
      </w:r>
    </w:p>
    <w:p w:rsidR="00A97A34" w:rsidRPr="00C4722E" w:rsidRDefault="00955507" w:rsidP="00C4722E">
      <w:pPr>
        <w:autoSpaceDE w:val="0"/>
        <w:autoSpaceDN w:val="0"/>
        <w:adjustRightInd w:val="0"/>
        <w:spacing w:before="240" w:after="0" w:line="360" w:lineRule="auto"/>
        <w:ind w:left="567" w:right="566"/>
        <w:jc w:val="both"/>
        <w:rPr>
          <w:rFonts w:ascii="Times New Roman" w:hAnsi="Times New Roman" w:cs="Times New Roman"/>
          <w:sz w:val="24"/>
          <w:szCs w:val="24"/>
        </w:rPr>
      </w:pPr>
      <w:r w:rsidRPr="00C4722E">
        <w:rPr>
          <w:rFonts w:ascii="Times New Roman" w:hAnsi="Times New Roman" w:cs="Times New Roman"/>
          <w:sz w:val="24"/>
          <w:szCs w:val="24"/>
        </w:rPr>
        <w:t xml:space="preserve">Invero, spiegano i giudici, </w:t>
      </w:r>
      <w:r w:rsidR="007A4BC5" w:rsidRPr="00C4722E">
        <w:rPr>
          <w:rFonts w:ascii="Times New Roman" w:hAnsi="Times New Roman" w:cs="Times New Roman"/>
          <w:sz w:val="24"/>
          <w:szCs w:val="24"/>
        </w:rPr>
        <w:t xml:space="preserve">&lt;&lt; </w:t>
      </w:r>
      <w:r w:rsidRPr="00C4722E">
        <w:rPr>
          <w:rFonts w:ascii="Times New Roman" w:hAnsi="Times New Roman" w:cs="Times New Roman"/>
          <w:b/>
          <w:i/>
          <w:sz w:val="24"/>
          <w:szCs w:val="24"/>
        </w:rPr>
        <w:t xml:space="preserve"> (…) n</w:t>
      </w:r>
      <w:r w:rsidR="007A4BC5" w:rsidRPr="00C4722E">
        <w:rPr>
          <w:rFonts w:ascii="Times New Roman" w:hAnsi="Times New Roman" w:cs="Times New Roman"/>
          <w:b/>
          <w:i/>
          <w:sz w:val="24"/>
          <w:szCs w:val="24"/>
        </w:rPr>
        <w:t>ella fattispecie, trova applicazione il consolidato orientamento della giurisprudenza amministrativa secondo cui si ha concessione quando l'operatore si assume in concreto i rischi economici della gestione del servizio, rifacendosi essenzialmente sull'utenza per mezzo della riscossione di un qualsiasi tipo di canone o tariffa, mentre si ha appalto di servizi quando l'onere del servizio stesso viene a gravare sostanzialmente sull'Amministrazione (Cons. Stato n. 5068/2011; n. 3377 /201</w:t>
      </w:r>
      <w:r w:rsidR="00037BE0" w:rsidRPr="00C4722E">
        <w:rPr>
          <w:rFonts w:ascii="Times New Roman" w:hAnsi="Times New Roman" w:cs="Times New Roman"/>
          <w:b/>
          <w:i/>
          <w:sz w:val="24"/>
          <w:szCs w:val="24"/>
        </w:rPr>
        <w:t>2; n. 4682/2012; n. 2624/2014)</w:t>
      </w:r>
      <w:r w:rsidR="00037BE0" w:rsidRPr="00C4722E">
        <w:rPr>
          <w:rFonts w:ascii="Times New Roman" w:hAnsi="Times New Roman" w:cs="Times New Roman"/>
          <w:sz w:val="24"/>
          <w:szCs w:val="24"/>
        </w:rPr>
        <w:t xml:space="preserve"> …. </w:t>
      </w:r>
      <w:r w:rsidR="007A4BC5" w:rsidRPr="00C4722E">
        <w:rPr>
          <w:rFonts w:ascii="Times New Roman" w:hAnsi="Times New Roman" w:cs="Times New Roman"/>
          <w:i/>
          <w:sz w:val="24"/>
          <w:szCs w:val="24"/>
        </w:rPr>
        <w:t>Discende da tale impostazione che la concessione di servizi involge un</w:t>
      </w:r>
      <w:r w:rsidR="00037BE0" w:rsidRPr="00C4722E">
        <w:rPr>
          <w:rFonts w:ascii="Times New Roman" w:hAnsi="Times New Roman" w:cs="Times New Roman"/>
          <w:i/>
          <w:sz w:val="24"/>
          <w:szCs w:val="24"/>
        </w:rPr>
        <w:t xml:space="preserve"> </w:t>
      </w:r>
      <w:r w:rsidR="007A4BC5" w:rsidRPr="00C4722E">
        <w:rPr>
          <w:rFonts w:ascii="Times New Roman" w:hAnsi="Times New Roman" w:cs="Times New Roman"/>
          <w:i/>
          <w:sz w:val="24"/>
          <w:szCs w:val="24"/>
        </w:rPr>
        <w:t>rapporto trilaterale, che interessa l'Amministrazione, il concessionario e</w:t>
      </w:r>
      <w:r w:rsidR="00037BE0" w:rsidRPr="00C4722E">
        <w:rPr>
          <w:rFonts w:ascii="Times New Roman" w:hAnsi="Times New Roman" w:cs="Times New Roman"/>
          <w:i/>
          <w:sz w:val="24"/>
          <w:szCs w:val="24"/>
        </w:rPr>
        <w:t xml:space="preserve"> </w:t>
      </w:r>
      <w:r w:rsidR="007A4BC5" w:rsidRPr="00C4722E">
        <w:rPr>
          <w:rFonts w:ascii="Times New Roman" w:hAnsi="Times New Roman" w:cs="Times New Roman"/>
          <w:i/>
          <w:sz w:val="24"/>
          <w:szCs w:val="24"/>
        </w:rPr>
        <w:t>gli utenti del servizio, nell'ambito del quale il costo del servizio grava, in</w:t>
      </w:r>
      <w:r w:rsidR="00037BE0" w:rsidRPr="00C4722E">
        <w:rPr>
          <w:rFonts w:ascii="Times New Roman" w:hAnsi="Times New Roman" w:cs="Times New Roman"/>
          <w:i/>
          <w:sz w:val="24"/>
          <w:szCs w:val="24"/>
        </w:rPr>
        <w:t xml:space="preserve"> </w:t>
      </w:r>
      <w:r w:rsidR="007A4BC5" w:rsidRPr="00C4722E">
        <w:rPr>
          <w:rFonts w:ascii="Times New Roman" w:hAnsi="Times New Roman" w:cs="Times New Roman"/>
          <w:i/>
          <w:sz w:val="24"/>
          <w:szCs w:val="24"/>
        </w:rPr>
        <w:t>definitiva, sugli utenti. Nell'appalto di servizi, per contro, il rapporto è</w:t>
      </w:r>
      <w:r w:rsidR="00037BE0" w:rsidRPr="00C4722E">
        <w:rPr>
          <w:rFonts w:ascii="Times New Roman" w:hAnsi="Times New Roman" w:cs="Times New Roman"/>
          <w:i/>
          <w:sz w:val="24"/>
          <w:szCs w:val="24"/>
        </w:rPr>
        <w:t xml:space="preserve"> </w:t>
      </w:r>
      <w:r w:rsidR="007A4BC5" w:rsidRPr="00C4722E">
        <w:rPr>
          <w:rFonts w:ascii="Times New Roman" w:hAnsi="Times New Roman" w:cs="Times New Roman"/>
          <w:i/>
          <w:sz w:val="24"/>
          <w:szCs w:val="24"/>
        </w:rPr>
        <w:t xml:space="preserve">bilaterale tra Amministrazione e appaltatore, il </w:t>
      </w:r>
      <w:r w:rsidR="00037BE0" w:rsidRPr="00C4722E">
        <w:rPr>
          <w:rFonts w:ascii="Times New Roman" w:hAnsi="Times New Roman" w:cs="Times New Roman"/>
          <w:i/>
          <w:sz w:val="24"/>
          <w:szCs w:val="24"/>
        </w:rPr>
        <w:t xml:space="preserve">quale è remunerato dalla </w:t>
      </w:r>
      <w:r w:rsidR="007A4BC5" w:rsidRPr="00C4722E">
        <w:rPr>
          <w:rFonts w:ascii="Times New Roman" w:hAnsi="Times New Roman" w:cs="Times New Roman"/>
          <w:i/>
          <w:sz w:val="24"/>
          <w:szCs w:val="24"/>
        </w:rPr>
        <w:t>prima per le prestazioni svolte (in ter</w:t>
      </w:r>
      <w:r w:rsidR="00037BE0" w:rsidRPr="00C4722E">
        <w:rPr>
          <w:rFonts w:ascii="Times New Roman" w:hAnsi="Times New Roman" w:cs="Times New Roman"/>
          <w:i/>
          <w:sz w:val="24"/>
          <w:szCs w:val="24"/>
        </w:rPr>
        <w:t>mini, Cons. Stato n. 2294/2002)&gt;</w:t>
      </w:r>
      <w:r w:rsidR="00037BE0" w:rsidRPr="00C4722E">
        <w:rPr>
          <w:rFonts w:ascii="Times New Roman" w:hAnsi="Times New Roman" w:cs="Times New Roman"/>
          <w:sz w:val="24"/>
          <w:szCs w:val="24"/>
        </w:rPr>
        <w:t xml:space="preserve">&gt;. </w:t>
      </w:r>
    </w:p>
    <w:p w:rsidR="007A4BC5" w:rsidRPr="00C4722E" w:rsidRDefault="00037BE0" w:rsidP="00C4722E">
      <w:pPr>
        <w:autoSpaceDE w:val="0"/>
        <w:autoSpaceDN w:val="0"/>
        <w:adjustRightInd w:val="0"/>
        <w:spacing w:before="240" w:line="360" w:lineRule="auto"/>
        <w:ind w:left="567" w:right="566"/>
        <w:jc w:val="both"/>
        <w:rPr>
          <w:rFonts w:ascii="Times New Roman" w:hAnsi="Times New Roman" w:cs="Times New Roman"/>
          <w:b/>
          <w:sz w:val="24"/>
          <w:szCs w:val="24"/>
        </w:rPr>
      </w:pPr>
      <w:r w:rsidRPr="00C4722E">
        <w:rPr>
          <w:rFonts w:ascii="Times New Roman" w:hAnsi="Times New Roman" w:cs="Times New Roman"/>
          <w:b/>
          <w:sz w:val="24"/>
          <w:szCs w:val="24"/>
        </w:rPr>
        <w:t>Ebbene, a</w:t>
      </w:r>
      <w:r w:rsidR="007A4BC5" w:rsidRPr="00C4722E">
        <w:rPr>
          <w:rFonts w:ascii="Times New Roman" w:hAnsi="Times New Roman" w:cs="Times New Roman"/>
          <w:b/>
          <w:sz w:val="24"/>
          <w:szCs w:val="24"/>
        </w:rPr>
        <w:t xml:space="preserve">pplicando tali principi al caso di specie, </w:t>
      </w:r>
      <w:r w:rsidRPr="00C4722E">
        <w:rPr>
          <w:rFonts w:ascii="Times New Roman" w:hAnsi="Times New Roman" w:cs="Times New Roman"/>
          <w:b/>
          <w:sz w:val="24"/>
          <w:szCs w:val="24"/>
        </w:rPr>
        <w:t xml:space="preserve">i giudici tributari hanno attribuito natura giuridica </w:t>
      </w:r>
      <w:r w:rsidR="007A4BC5" w:rsidRPr="00C4722E">
        <w:rPr>
          <w:rFonts w:ascii="Times New Roman" w:hAnsi="Times New Roman" w:cs="Times New Roman"/>
          <w:b/>
          <w:sz w:val="24"/>
          <w:szCs w:val="24"/>
        </w:rPr>
        <w:t xml:space="preserve">di appalto di servizi ai rapporti intercorsi tra </w:t>
      </w:r>
      <w:r w:rsidRPr="00C4722E">
        <w:rPr>
          <w:rFonts w:ascii="Times New Roman" w:hAnsi="Times New Roman" w:cs="Times New Roman"/>
          <w:b/>
          <w:sz w:val="24"/>
          <w:szCs w:val="24"/>
        </w:rPr>
        <w:t xml:space="preserve">le società coinvolte </w:t>
      </w:r>
      <w:r w:rsidR="007A4BC5" w:rsidRPr="00C4722E">
        <w:rPr>
          <w:rFonts w:ascii="Times New Roman" w:hAnsi="Times New Roman" w:cs="Times New Roman"/>
          <w:b/>
          <w:sz w:val="24"/>
          <w:szCs w:val="24"/>
        </w:rPr>
        <w:t>e gli enti locali (comuni, enti di ambito e</w:t>
      </w:r>
      <w:r w:rsidRPr="00C4722E">
        <w:rPr>
          <w:rFonts w:ascii="Times New Roman" w:hAnsi="Times New Roman" w:cs="Times New Roman"/>
          <w:b/>
          <w:sz w:val="24"/>
          <w:szCs w:val="24"/>
        </w:rPr>
        <w:t xml:space="preserve"> di bacino) per la gestione </w:t>
      </w:r>
      <w:r w:rsidR="007A4BC5" w:rsidRPr="00C4722E">
        <w:rPr>
          <w:rFonts w:ascii="Times New Roman" w:hAnsi="Times New Roman" w:cs="Times New Roman"/>
          <w:b/>
          <w:sz w:val="24"/>
          <w:szCs w:val="24"/>
        </w:rPr>
        <w:t>del servizio di raccolta e smaltimento dei r</w:t>
      </w:r>
      <w:r w:rsidRPr="00C4722E">
        <w:rPr>
          <w:rFonts w:ascii="Times New Roman" w:hAnsi="Times New Roman" w:cs="Times New Roman"/>
          <w:b/>
          <w:sz w:val="24"/>
          <w:szCs w:val="24"/>
        </w:rPr>
        <w:t>ifiuti nel periodo d'imposta in considerazione, confe</w:t>
      </w:r>
      <w:r w:rsidR="00503023" w:rsidRPr="00C4722E">
        <w:rPr>
          <w:rFonts w:ascii="Times New Roman" w:hAnsi="Times New Roman" w:cs="Times New Roman"/>
          <w:b/>
          <w:sz w:val="24"/>
          <w:szCs w:val="24"/>
        </w:rPr>
        <w:t>rmando così la legittimità dell’</w:t>
      </w:r>
      <w:r w:rsidRPr="00C4722E">
        <w:rPr>
          <w:rFonts w:ascii="Times New Roman" w:hAnsi="Times New Roman" w:cs="Times New Roman"/>
          <w:b/>
          <w:sz w:val="24"/>
          <w:szCs w:val="24"/>
        </w:rPr>
        <w:t xml:space="preserve">atteggiamento delle società nell’usufruire delle </w:t>
      </w:r>
      <w:r w:rsidR="007A4BC5" w:rsidRPr="00C4722E">
        <w:rPr>
          <w:rFonts w:ascii="Times New Roman" w:hAnsi="Times New Roman" w:cs="Times New Roman"/>
          <w:b/>
          <w:sz w:val="24"/>
          <w:szCs w:val="24"/>
        </w:rPr>
        <w:t>deduzioni dalla base imponibile Irap.</w:t>
      </w:r>
    </w:p>
    <w:p w:rsidR="00503023" w:rsidRPr="00C4722E" w:rsidRDefault="00503023" w:rsidP="00C4722E">
      <w:pPr>
        <w:autoSpaceDE w:val="0"/>
        <w:autoSpaceDN w:val="0"/>
        <w:adjustRightInd w:val="0"/>
        <w:spacing w:before="240" w:line="360" w:lineRule="auto"/>
        <w:ind w:left="567" w:right="566"/>
        <w:jc w:val="both"/>
        <w:rPr>
          <w:rFonts w:ascii="Times New Roman" w:hAnsi="Times New Roman" w:cs="Times New Roman"/>
          <w:sz w:val="24"/>
          <w:szCs w:val="24"/>
        </w:rPr>
      </w:pPr>
      <w:r w:rsidRPr="00C4722E">
        <w:rPr>
          <w:rFonts w:ascii="Times New Roman" w:hAnsi="Times New Roman" w:cs="Times New Roman"/>
          <w:b/>
          <w:sz w:val="24"/>
          <w:szCs w:val="24"/>
        </w:rPr>
        <w:t xml:space="preserve">Nei rapporti in questione, ribadiscono i giudici tributari, non è mai previsto un corrispettivo ancorato alla variazione della domanda, né l’obbligo dei Comuni di coprire eventuali perdite derivanti dalla gestione del servizio. </w:t>
      </w:r>
      <w:r w:rsidR="006B1BAC" w:rsidRPr="00C4722E">
        <w:rPr>
          <w:rFonts w:ascii="Times New Roman" w:hAnsi="Times New Roman" w:cs="Times New Roman"/>
          <w:b/>
          <w:i/>
          <w:sz w:val="24"/>
          <w:szCs w:val="24"/>
        </w:rPr>
        <w:t>&lt;&lt;</w:t>
      </w:r>
      <w:r w:rsidRPr="00C4722E">
        <w:rPr>
          <w:rFonts w:ascii="Times New Roman" w:hAnsi="Times New Roman" w:cs="Times New Roman"/>
          <w:i/>
          <w:sz w:val="24"/>
          <w:szCs w:val="24"/>
        </w:rPr>
        <w:t xml:space="preserve"> Di fatto, con i contratti in esame si è instaurato un rapporto bilaterale tra le società coinvolte e i singoli enti locali, al quale rimangono estranei gli utenti del servizio, rispetto ai quali si configura un autonomo rapporto con l'ente pubblico in relazione al pagamento del servizio affidato in appalto</w:t>
      </w:r>
      <w:r w:rsidR="006B1BAC" w:rsidRPr="00C4722E">
        <w:rPr>
          <w:rFonts w:ascii="Times New Roman" w:hAnsi="Times New Roman" w:cs="Times New Roman"/>
          <w:i/>
          <w:sz w:val="24"/>
          <w:szCs w:val="24"/>
        </w:rPr>
        <w:t>&gt;&gt;</w:t>
      </w:r>
      <w:r w:rsidRPr="00C4722E">
        <w:rPr>
          <w:rFonts w:ascii="Times New Roman" w:hAnsi="Times New Roman" w:cs="Times New Roman"/>
          <w:i/>
          <w:sz w:val="24"/>
          <w:szCs w:val="24"/>
        </w:rPr>
        <w:t>.</w:t>
      </w:r>
    </w:p>
    <w:p w:rsidR="0055722A" w:rsidRPr="00C4722E" w:rsidRDefault="0055722A" w:rsidP="00C4722E">
      <w:pPr>
        <w:spacing w:line="360" w:lineRule="auto"/>
        <w:ind w:left="567" w:right="566"/>
        <w:jc w:val="both"/>
        <w:rPr>
          <w:rFonts w:ascii="Times New Roman" w:hAnsi="Times New Roman" w:cs="Times New Roman"/>
          <w:b/>
          <w:sz w:val="24"/>
          <w:szCs w:val="24"/>
        </w:rPr>
      </w:pPr>
      <w:r w:rsidRPr="00C4722E">
        <w:rPr>
          <w:rFonts w:ascii="Times New Roman" w:eastAsia="Times New Roman" w:hAnsi="Times New Roman" w:cs="Times New Roman"/>
          <w:b/>
          <w:sz w:val="24"/>
          <w:szCs w:val="24"/>
          <w:lang w:eastAsia="it-IT"/>
        </w:rPr>
        <w:t>I</w:t>
      </w:r>
      <w:r w:rsidR="00A97A34" w:rsidRPr="00C4722E">
        <w:rPr>
          <w:rFonts w:ascii="Times New Roman" w:eastAsia="Times New Roman" w:hAnsi="Times New Roman" w:cs="Times New Roman"/>
          <w:b/>
          <w:sz w:val="24"/>
          <w:szCs w:val="24"/>
          <w:lang w:eastAsia="it-IT"/>
        </w:rPr>
        <w:t>n definitiva</w:t>
      </w:r>
      <w:r w:rsidRPr="00C4722E">
        <w:rPr>
          <w:rFonts w:ascii="Times New Roman" w:eastAsia="Times New Roman" w:hAnsi="Times New Roman" w:cs="Times New Roman"/>
          <w:b/>
          <w:sz w:val="24"/>
          <w:szCs w:val="24"/>
          <w:lang w:eastAsia="it-IT"/>
        </w:rPr>
        <w:t xml:space="preserve">, </w:t>
      </w:r>
      <w:r w:rsidRPr="00C4722E">
        <w:rPr>
          <w:rFonts w:ascii="Times New Roman" w:hAnsi="Times New Roman" w:cs="Times New Roman"/>
          <w:b/>
          <w:sz w:val="24"/>
          <w:szCs w:val="24"/>
        </w:rPr>
        <w:t>con riferimento ai contratti in oggetto, è stata accertata la sussistenza dei presupposti necessari affinché le società potessero beneficiare dell’applicazione dell’art. 11 del D.Lgs. m. 446/1997</w:t>
      </w:r>
      <w:r w:rsidR="00A97A34" w:rsidRPr="00C4722E">
        <w:rPr>
          <w:rFonts w:ascii="Times New Roman" w:hAnsi="Times New Roman" w:cs="Times New Roman"/>
          <w:b/>
          <w:sz w:val="24"/>
          <w:szCs w:val="24"/>
        </w:rPr>
        <w:t>.  Non sono stati provati</w:t>
      </w:r>
      <w:r w:rsidRPr="00C4722E">
        <w:rPr>
          <w:rFonts w:ascii="Times New Roman" w:hAnsi="Times New Roman" w:cs="Times New Roman"/>
          <w:b/>
          <w:sz w:val="24"/>
          <w:szCs w:val="24"/>
        </w:rPr>
        <w:t xml:space="preserve">, infatti, né singolarmente, né in combinato tra loro, gli elementi previsti dalla legge per l’esclusione delle attività in esame dall’ambito di applicabilità delle richiamate deduzioni, ovvero: la </w:t>
      </w:r>
      <w:r w:rsidRPr="00C4722E">
        <w:rPr>
          <w:rFonts w:ascii="Times New Roman" w:hAnsi="Times New Roman" w:cs="Times New Roman"/>
          <w:b/>
          <w:sz w:val="24"/>
          <w:szCs w:val="24"/>
        </w:rPr>
        <w:lastRenderedPageBreak/>
        <w:t>sussistenza di una concessione traslativa e l’applicazione di una tariffa per la remunerazione del servizio.</w:t>
      </w:r>
    </w:p>
    <w:p w:rsidR="00C4722E" w:rsidRDefault="0055722A" w:rsidP="00BB5BE9">
      <w:pPr>
        <w:spacing w:line="360" w:lineRule="auto"/>
        <w:ind w:left="567" w:right="566"/>
        <w:jc w:val="both"/>
        <w:rPr>
          <w:rFonts w:ascii="Times New Roman" w:hAnsi="Times New Roman" w:cs="Times New Roman"/>
          <w:b/>
          <w:sz w:val="24"/>
          <w:szCs w:val="24"/>
        </w:rPr>
      </w:pPr>
      <w:r w:rsidRPr="00C4722E">
        <w:rPr>
          <w:rFonts w:ascii="Times New Roman" w:hAnsi="Times New Roman" w:cs="Times New Roman"/>
          <w:b/>
          <w:sz w:val="24"/>
          <w:szCs w:val="24"/>
        </w:rPr>
        <w:t>A fronte di t</w:t>
      </w:r>
      <w:r w:rsidR="00BB5BE9">
        <w:rPr>
          <w:rFonts w:ascii="Times New Roman" w:hAnsi="Times New Roman" w:cs="Times New Roman"/>
          <w:b/>
          <w:sz w:val="24"/>
          <w:szCs w:val="24"/>
        </w:rPr>
        <w:t>anto, con le sentenze n. 2826</w:t>
      </w:r>
      <w:r w:rsidRPr="00C4722E">
        <w:rPr>
          <w:rFonts w:ascii="Times New Roman" w:hAnsi="Times New Roman" w:cs="Times New Roman"/>
          <w:b/>
          <w:sz w:val="24"/>
          <w:szCs w:val="24"/>
        </w:rPr>
        <w:t xml:space="preserve"> e </w:t>
      </w:r>
      <w:r w:rsidR="00BB5BE9">
        <w:rPr>
          <w:rFonts w:ascii="Times New Roman" w:hAnsi="Times New Roman" w:cs="Times New Roman"/>
          <w:b/>
          <w:sz w:val="24"/>
          <w:szCs w:val="24"/>
        </w:rPr>
        <w:t>n. 2825</w:t>
      </w:r>
      <w:r w:rsidRPr="00C4722E">
        <w:rPr>
          <w:rFonts w:ascii="Times New Roman" w:hAnsi="Times New Roman" w:cs="Times New Roman"/>
          <w:b/>
          <w:sz w:val="24"/>
          <w:szCs w:val="24"/>
        </w:rPr>
        <w:t xml:space="preserve"> del 01.09.2017, i giudici di merito hanno accolto i ricorsi e annullato gli avvisi di accertamento suddetti</w:t>
      </w:r>
      <w:r w:rsidR="00A97A34" w:rsidRPr="00C4722E">
        <w:rPr>
          <w:rFonts w:ascii="Times New Roman" w:hAnsi="Times New Roman" w:cs="Times New Roman"/>
          <w:b/>
          <w:sz w:val="24"/>
          <w:szCs w:val="24"/>
        </w:rPr>
        <w:t xml:space="preserve"> per un ammontare complessivo di circa 1 milione di euro</w:t>
      </w:r>
      <w:r w:rsidR="00BB5BE9">
        <w:rPr>
          <w:rFonts w:ascii="Times New Roman" w:hAnsi="Times New Roman" w:cs="Times New Roman"/>
          <w:b/>
          <w:sz w:val="24"/>
          <w:szCs w:val="24"/>
        </w:rPr>
        <w:t>.</w:t>
      </w:r>
    </w:p>
    <w:p w:rsidR="00C4722E" w:rsidRPr="00C4722E" w:rsidRDefault="00C4722E" w:rsidP="00C4722E">
      <w:pPr>
        <w:spacing w:line="360" w:lineRule="auto"/>
        <w:ind w:left="567" w:right="566"/>
        <w:jc w:val="both"/>
        <w:rPr>
          <w:rFonts w:ascii="Times New Roman" w:hAnsi="Times New Roman" w:cs="Times New Roman"/>
          <w:b/>
          <w:sz w:val="24"/>
          <w:szCs w:val="24"/>
        </w:rPr>
      </w:pPr>
    </w:p>
    <w:tbl>
      <w:tblPr>
        <w:tblStyle w:val="Grigliatabella"/>
        <w:tblW w:w="9776" w:type="dxa"/>
        <w:tblLook w:val="04A0" w:firstRow="1" w:lastRow="0" w:firstColumn="1" w:lastColumn="0" w:noHBand="0" w:noVBand="1"/>
      </w:tblPr>
      <w:tblGrid>
        <w:gridCol w:w="4814"/>
        <w:gridCol w:w="4962"/>
      </w:tblGrid>
      <w:tr w:rsidR="00503023" w:rsidRPr="00C4722E" w:rsidTr="00740F77">
        <w:tc>
          <w:tcPr>
            <w:tcW w:w="4814" w:type="dxa"/>
          </w:tcPr>
          <w:p w:rsidR="00740F77" w:rsidRPr="00C4722E" w:rsidRDefault="00740F77" w:rsidP="00C4722E">
            <w:pPr>
              <w:spacing w:line="360" w:lineRule="auto"/>
              <w:ind w:left="567" w:right="566"/>
              <w:jc w:val="both"/>
              <w:rPr>
                <w:rFonts w:ascii="Times New Roman" w:hAnsi="Times New Roman" w:cs="Times New Roman"/>
                <w:b/>
                <w:bCs/>
                <w:sz w:val="24"/>
                <w:szCs w:val="24"/>
                <w:u w:val="single"/>
              </w:rPr>
            </w:pPr>
          </w:p>
          <w:p w:rsidR="00503023" w:rsidRPr="00C4722E" w:rsidRDefault="00740F77" w:rsidP="00C4722E">
            <w:pPr>
              <w:spacing w:line="360" w:lineRule="auto"/>
              <w:ind w:left="567" w:right="566"/>
              <w:jc w:val="center"/>
              <w:rPr>
                <w:rFonts w:ascii="Times New Roman" w:hAnsi="Times New Roman" w:cs="Times New Roman"/>
                <w:b/>
                <w:bCs/>
                <w:sz w:val="24"/>
                <w:szCs w:val="24"/>
              </w:rPr>
            </w:pPr>
            <w:r w:rsidRPr="00C4722E">
              <w:rPr>
                <w:rFonts w:ascii="Times New Roman" w:hAnsi="Times New Roman" w:cs="Times New Roman"/>
                <w:b/>
                <w:bCs/>
                <w:sz w:val="24"/>
                <w:szCs w:val="24"/>
              </w:rPr>
              <w:t>CONCESSIONE</w:t>
            </w:r>
          </w:p>
          <w:p w:rsidR="00740F77" w:rsidRPr="00C4722E" w:rsidRDefault="00740F77" w:rsidP="00C4722E">
            <w:pPr>
              <w:spacing w:line="360" w:lineRule="auto"/>
              <w:ind w:left="567" w:right="566"/>
              <w:jc w:val="center"/>
              <w:rPr>
                <w:rFonts w:ascii="Times New Roman" w:hAnsi="Times New Roman" w:cs="Times New Roman"/>
                <w:b/>
                <w:bCs/>
                <w:sz w:val="24"/>
                <w:szCs w:val="24"/>
              </w:rPr>
            </w:pPr>
          </w:p>
          <w:p w:rsidR="00740F77" w:rsidRPr="00C4722E" w:rsidRDefault="00740F77" w:rsidP="00C4722E">
            <w:pPr>
              <w:pStyle w:val="Paragrafoelenco"/>
              <w:numPr>
                <w:ilvl w:val="0"/>
                <w:numId w:val="1"/>
              </w:numPr>
              <w:spacing w:line="360" w:lineRule="auto"/>
              <w:ind w:left="567" w:right="566"/>
              <w:jc w:val="both"/>
              <w:rPr>
                <w:rFonts w:ascii="Times New Roman" w:hAnsi="Times New Roman" w:cs="Times New Roman"/>
                <w:b/>
                <w:sz w:val="24"/>
                <w:szCs w:val="24"/>
              </w:rPr>
            </w:pPr>
            <w:r w:rsidRPr="00C4722E">
              <w:rPr>
                <w:rFonts w:ascii="Times New Roman" w:hAnsi="Times New Roman" w:cs="Times New Roman"/>
                <w:b/>
                <w:bCs/>
                <w:sz w:val="24"/>
                <w:szCs w:val="24"/>
              </w:rPr>
              <w:t>Il concessionario assume su di sé i rischi connessi alla realizzazione e gestione del servizio;</w:t>
            </w:r>
          </w:p>
          <w:p w:rsidR="00740F77" w:rsidRPr="00C4722E" w:rsidRDefault="00740F77" w:rsidP="00C4722E">
            <w:pPr>
              <w:pStyle w:val="Paragrafoelenco"/>
              <w:spacing w:line="360" w:lineRule="auto"/>
              <w:ind w:left="567" w:right="566"/>
              <w:jc w:val="both"/>
              <w:rPr>
                <w:rFonts w:ascii="Times New Roman" w:hAnsi="Times New Roman" w:cs="Times New Roman"/>
                <w:b/>
                <w:sz w:val="24"/>
                <w:szCs w:val="24"/>
              </w:rPr>
            </w:pPr>
          </w:p>
          <w:p w:rsidR="00740F77" w:rsidRPr="00C4722E" w:rsidRDefault="00740F77" w:rsidP="00C4722E">
            <w:pPr>
              <w:pStyle w:val="Paragrafoelenco"/>
              <w:numPr>
                <w:ilvl w:val="0"/>
                <w:numId w:val="1"/>
              </w:numPr>
              <w:spacing w:line="360" w:lineRule="auto"/>
              <w:ind w:left="567" w:right="566"/>
              <w:jc w:val="both"/>
              <w:rPr>
                <w:rFonts w:ascii="Times New Roman" w:hAnsi="Times New Roman" w:cs="Times New Roman"/>
                <w:b/>
                <w:sz w:val="24"/>
                <w:szCs w:val="24"/>
              </w:rPr>
            </w:pPr>
            <w:r w:rsidRPr="00C4722E">
              <w:rPr>
                <w:rFonts w:ascii="Times New Roman" w:hAnsi="Times New Roman" w:cs="Times New Roman"/>
                <w:b/>
                <w:bCs/>
                <w:sz w:val="24"/>
                <w:szCs w:val="24"/>
              </w:rPr>
              <w:t>l’impresa trae la propria remunerazione direttamente dall’utenza venendosi così a creare un vero e proprio rapporto trilaterale tra P.A. concedente, azienda concessionario e utente. Il concessionario, quindi, ottiene il proprio compenso non già dall’Amministrazione (come avviene nelle ipotesi in cui vi sia un appalto), ma dall’esterno, cioè dal pubblico che fruisce del servizio.</w:t>
            </w:r>
          </w:p>
          <w:p w:rsidR="00740F77" w:rsidRPr="00C4722E" w:rsidRDefault="00740F77" w:rsidP="00C4722E">
            <w:pPr>
              <w:pStyle w:val="Paragrafoelenco"/>
              <w:spacing w:line="360" w:lineRule="auto"/>
              <w:ind w:left="567" w:right="566"/>
              <w:jc w:val="both"/>
              <w:rPr>
                <w:rFonts w:ascii="Times New Roman" w:hAnsi="Times New Roman" w:cs="Times New Roman"/>
                <w:b/>
                <w:sz w:val="24"/>
                <w:szCs w:val="24"/>
              </w:rPr>
            </w:pPr>
          </w:p>
        </w:tc>
        <w:tc>
          <w:tcPr>
            <w:tcW w:w="4962" w:type="dxa"/>
          </w:tcPr>
          <w:p w:rsidR="00740F77" w:rsidRPr="00C4722E" w:rsidRDefault="00740F77" w:rsidP="00C4722E">
            <w:pPr>
              <w:spacing w:line="360" w:lineRule="auto"/>
              <w:ind w:left="567" w:right="566"/>
              <w:jc w:val="both"/>
              <w:rPr>
                <w:rFonts w:ascii="Times New Roman" w:hAnsi="Times New Roman" w:cs="Times New Roman"/>
                <w:b/>
                <w:bCs/>
                <w:sz w:val="24"/>
                <w:szCs w:val="24"/>
                <w:u w:val="single"/>
              </w:rPr>
            </w:pPr>
          </w:p>
          <w:p w:rsidR="00503023" w:rsidRPr="00C4722E" w:rsidRDefault="00740F77" w:rsidP="00C4722E">
            <w:pPr>
              <w:spacing w:line="360" w:lineRule="auto"/>
              <w:ind w:left="567" w:right="566"/>
              <w:jc w:val="center"/>
              <w:rPr>
                <w:rFonts w:ascii="Times New Roman" w:hAnsi="Times New Roman" w:cs="Times New Roman"/>
                <w:b/>
                <w:bCs/>
                <w:sz w:val="24"/>
                <w:szCs w:val="24"/>
              </w:rPr>
            </w:pPr>
            <w:r w:rsidRPr="00C4722E">
              <w:rPr>
                <w:rFonts w:ascii="Times New Roman" w:hAnsi="Times New Roman" w:cs="Times New Roman"/>
                <w:b/>
                <w:bCs/>
                <w:sz w:val="24"/>
                <w:szCs w:val="24"/>
              </w:rPr>
              <w:t>APPALTO</w:t>
            </w:r>
          </w:p>
          <w:p w:rsidR="00740F77" w:rsidRPr="00C4722E" w:rsidRDefault="00740F77" w:rsidP="00C4722E">
            <w:pPr>
              <w:spacing w:line="360" w:lineRule="auto"/>
              <w:ind w:left="567" w:right="566"/>
              <w:jc w:val="both"/>
              <w:rPr>
                <w:rFonts w:ascii="Times New Roman" w:hAnsi="Times New Roman" w:cs="Times New Roman"/>
                <w:b/>
                <w:bCs/>
                <w:sz w:val="24"/>
                <w:szCs w:val="24"/>
              </w:rPr>
            </w:pPr>
          </w:p>
          <w:p w:rsidR="00740F77" w:rsidRPr="00C4722E" w:rsidRDefault="00740F77" w:rsidP="00C4722E">
            <w:pPr>
              <w:numPr>
                <w:ilvl w:val="0"/>
                <w:numId w:val="3"/>
              </w:numPr>
              <w:spacing w:line="360" w:lineRule="auto"/>
              <w:ind w:left="567" w:right="566"/>
              <w:jc w:val="both"/>
              <w:rPr>
                <w:rFonts w:ascii="Times New Roman" w:hAnsi="Times New Roman" w:cs="Times New Roman"/>
                <w:b/>
                <w:bCs/>
                <w:sz w:val="24"/>
                <w:szCs w:val="24"/>
              </w:rPr>
            </w:pPr>
            <w:r w:rsidRPr="00C4722E">
              <w:rPr>
                <w:rFonts w:ascii="Times New Roman" w:hAnsi="Times New Roman" w:cs="Times New Roman"/>
                <w:b/>
                <w:bCs/>
                <w:sz w:val="24"/>
                <w:szCs w:val="24"/>
              </w:rPr>
              <w:t>il rischio e l’onere del servizio continuano a permanere in capo all’Amministrazione venendosi così a costituire un rapporto di natura bilaterale tra P.A. e appaltatore;</w:t>
            </w:r>
          </w:p>
          <w:p w:rsidR="00740F77" w:rsidRPr="00C4722E" w:rsidRDefault="00740F77" w:rsidP="00C4722E">
            <w:pPr>
              <w:spacing w:line="360" w:lineRule="auto"/>
              <w:ind w:left="567" w:right="566"/>
              <w:jc w:val="both"/>
              <w:rPr>
                <w:rFonts w:ascii="Times New Roman" w:hAnsi="Times New Roman" w:cs="Times New Roman"/>
                <w:b/>
                <w:bCs/>
                <w:sz w:val="24"/>
                <w:szCs w:val="24"/>
              </w:rPr>
            </w:pPr>
          </w:p>
          <w:p w:rsidR="00740F77" w:rsidRPr="00C4722E" w:rsidRDefault="00740F77" w:rsidP="00C4722E">
            <w:pPr>
              <w:pStyle w:val="Paragrafoelenco"/>
              <w:numPr>
                <w:ilvl w:val="0"/>
                <w:numId w:val="3"/>
              </w:numPr>
              <w:spacing w:line="360" w:lineRule="auto"/>
              <w:ind w:left="567" w:right="566"/>
              <w:jc w:val="both"/>
              <w:rPr>
                <w:rFonts w:ascii="Times New Roman" w:hAnsi="Times New Roman" w:cs="Times New Roman"/>
                <w:b/>
                <w:sz w:val="24"/>
                <w:szCs w:val="24"/>
              </w:rPr>
            </w:pPr>
            <w:r w:rsidRPr="00C4722E">
              <w:rPr>
                <w:rFonts w:ascii="Times New Roman" w:hAnsi="Times New Roman" w:cs="Times New Roman"/>
                <w:b/>
                <w:bCs/>
                <w:sz w:val="24"/>
                <w:szCs w:val="24"/>
              </w:rPr>
              <w:t>l'imprenditore ottiene dall'Amministrazione aggi</w:t>
            </w:r>
            <w:r w:rsidR="009E6BD9" w:rsidRPr="00C4722E">
              <w:rPr>
                <w:rFonts w:ascii="Times New Roman" w:hAnsi="Times New Roman" w:cs="Times New Roman"/>
                <w:b/>
                <w:bCs/>
                <w:sz w:val="24"/>
                <w:szCs w:val="24"/>
              </w:rPr>
              <w:t>udicatrice il compenso pattuito</w:t>
            </w:r>
            <w:r w:rsidRPr="00C4722E">
              <w:rPr>
                <w:rFonts w:ascii="Times New Roman" w:hAnsi="Times New Roman" w:cs="Times New Roman"/>
                <w:b/>
                <w:bCs/>
                <w:sz w:val="24"/>
                <w:szCs w:val="24"/>
              </w:rPr>
              <w:t xml:space="preserve"> e non ha necessità di avere rapporti negoziali con i reali utenti finali del servizio offerto</w:t>
            </w:r>
            <w:r w:rsidRPr="00C4722E">
              <w:rPr>
                <w:rFonts w:ascii="Times New Roman" w:hAnsi="Times New Roman" w:cs="Times New Roman"/>
                <w:b/>
                <w:bCs/>
                <w:i/>
                <w:sz w:val="24"/>
                <w:szCs w:val="24"/>
              </w:rPr>
              <w:t xml:space="preserve">; </w:t>
            </w:r>
            <w:r w:rsidRPr="00C4722E">
              <w:rPr>
                <w:rFonts w:ascii="Times New Roman" w:hAnsi="Times New Roman" w:cs="Times New Roman"/>
                <w:b/>
                <w:bCs/>
                <w:iCs/>
                <w:sz w:val="24"/>
                <w:szCs w:val="24"/>
              </w:rPr>
              <w:t>l'onere del servizio stesso viene, dunque, a gravare sostanzialmente sull'Amministrazione.</w:t>
            </w:r>
          </w:p>
        </w:tc>
      </w:tr>
    </w:tbl>
    <w:p w:rsidR="00955507" w:rsidRPr="00C4722E" w:rsidRDefault="00955507" w:rsidP="00C4722E">
      <w:pPr>
        <w:spacing w:line="360" w:lineRule="auto"/>
        <w:ind w:left="567" w:right="566"/>
        <w:jc w:val="both"/>
        <w:rPr>
          <w:rFonts w:ascii="Times New Roman" w:hAnsi="Times New Roman" w:cs="Times New Roman"/>
          <w:b/>
          <w:sz w:val="24"/>
          <w:szCs w:val="24"/>
        </w:rPr>
      </w:pPr>
    </w:p>
    <w:p w:rsidR="00A97A34" w:rsidRPr="00C4722E" w:rsidRDefault="003B1FFB" w:rsidP="00BB5BE9">
      <w:pPr>
        <w:spacing w:line="360" w:lineRule="auto"/>
        <w:ind w:right="566"/>
        <w:jc w:val="both"/>
        <w:rPr>
          <w:rFonts w:ascii="Times New Roman" w:hAnsi="Times New Roman" w:cs="Times New Roman"/>
          <w:b/>
          <w:sz w:val="24"/>
          <w:szCs w:val="24"/>
        </w:rPr>
      </w:pPr>
      <w:r>
        <w:rPr>
          <w:rFonts w:ascii="Times New Roman" w:hAnsi="Times New Roman" w:cs="Times New Roman"/>
          <w:b/>
          <w:sz w:val="24"/>
          <w:szCs w:val="24"/>
        </w:rPr>
        <w:t>Lecce, 20</w:t>
      </w:r>
      <w:r w:rsidR="0055722A" w:rsidRPr="00C4722E">
        <w:rPr>
          <w:rFonts w:ascii="Times New Roman" w:hAnsi="Times New Roman" w:cs="Times New Roman"/>
          <w:b/>
          <w:sz w:val="24"/>
          <w:szCs w:val="24"/>
        </w:rPr>
        <w:t xml:space="preserve">.09.2017 </w:t>
      </w:r>
      <w:r w:rsidR="00A97A34" w:rsidRPr="00C4722E">
        <w:rPr>
          <w:rFonts w:ascii="Times New Roman" w:hAnsi="Times New Roman" w:cs="Times New Roman"/>
          <w:b/>
          <w:sz w:val="24"/>
          <w:szCs w:val="24"/>
        </w:rPr>
        <w:t xml:space="preserve">                                            </w:t>
      </w:r>
      <w:r w:rsidR="00C4722E">
        <w:rPr>
          <w:rFonts w:ascii="Times New Roman" w:hAnsi="Times New Roman" w:cs="Times New Roman"/>
          <w:b/>
          <w:sz w:val="24"/>
          <w:szCs w:val="24"/>
        </w:rPr>
        <w:t xml:space="preserve">                              </w:t>
      </w:r>
      <w:r w:rsidR="00A97A34" w:rsidRPr="00C4722E">
        <w:rPr>
          <w:rFonts w:ascii="Times New Roman" w:hAnsi="Times New Roman" w:cs="Times New Roman"/>
          <w:b/>
          <w:sz w:val="24"/>
          <w:szCs w:val="24"/>
        </w:rPr>
        <w:t xml:space="preserve"> </w:t>
      </w:r>
      <w:r w:rsidR="0055722A" w:rsidRPr="00C4722E">
        <w:rPr>
          <w:rFonts w:ascii="Times New Roman" w:hAnsi="Times New Roman" w:cs="Times New Roman"/>
          <w:b/>
          <w:sz w:val="24"/>
          <w:szCs w:val="24"/>
        </w:rPr>
        <w:t>Avv. Maurizio Villan</w:t>
      </w:r>
      <w:r w:rsidR="00A97A34" w:rsidRPr="00C4722E">
        <w:rPr>
          <w:rFonts w:ascii="Times New Roman" w:hAnsi="Times New Roman" w:cs="Times New Roman"/>
          <w:b/>
          <w:sz w:val="24"/>
          <w:szCs w:val="24"/>
        </w:rPr>
        <w:t>i</w:t>
      </w:r>
    </w:p>
    <w:p w:rsidR="00955507" w:rsidRPr="00C4722E" w:rsidRDefault="00955507" w:rsidP="00C4722E">
      <w:pPr>
        <w:spacing w:line="360" w:lineRule="auto"/>
        <w:ind w:left="567" w:right="566"/>
        <w:jc w:val="both"/>
        <w:rPr>
          <w:rFonts w:ascii="Times New Roman" w:hAnsi="Times New Roman" w:cs="Times New Roman"/>
          <w:b/>
          <w:sz w:val="24"/>
          <w:szCs w:val="24"/>
        </w:rPr>
      </w:pPr>
    </w:p>
    <w:p w:rsidR="00D90636" w:rsidRPr="00C4722E" w:rsidRDefault="00A97A34" w:rsidP="00C4722E">
      <w:pPr>
        <w:spacing w:line="360" w:lineRule="auto"/>
        <w:ind w:left="567" w:right="566"/>
        <w:jc w:val="both"/>
        <w:rPr>
          <w:rFonts w:ascii="Times New Roman" w:hAnsi="Times New Roman" w:cs="Times New Roman"/>
          <w:sz w:val="24"/>
          <w:szCs w:val="24"/>
        </w:rPr>
      </w:pPr>
      <w:r w:rsidRPr="00C4722E">
        <w:rPr>
          <w:rFonts w:ascii="Times New Roman" w:hAnsi="Times New Roman" w:cs="Times New Roman"/>
          <w:b/>
          <w:i/>
          <w:noProof/>
          <w:sz w:val="24"/>
          <w:szCs w:val="24"/>
          <w:lang w:eastAsia="it-IT"/>
        </w:rPr>
        <w:lastRenderedPageBreak/>
        <w:drawing>
          <wp:inline distT="0" distB="0" distL="0" distR="0" wp14:anchorId="46A1D5ED" wp14:editId="4998AC94">
            <wp:extent cx="6120130" cy="1511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511300"/>
                    </a:xfrm>
                    <a:prstGeom prst="rect">
                      <a:avLst/>
                    </a:prstGeom>
                    <a:noFill/>
                  </pic:spPr>
                </pic:pic>
              </a:graphicData>
            </a:graphic>
          </wp:inline>
        </w:drawing>
      </w:r>
    </w:p>
    <w:sectPr w:rsidR="00D90636" w:rsidRPr="00C4722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56" w:rsidRDefault="005D3E56" w:rsidP="00037BE0">
      <w:pPr>
        <w:spacing w:after="0" w:line="240" w:lineRule="auto"/>
      </w:pPr>
      <w:r>
        <w:separator/>
      </w:r>
    </w:p>
  </w:endnote>
  <w:endnote w:type="continuationSeparator" w:id="0">
    <w:p w:rsidR="005D3E56" w:rsidRDefault="005D3E56" w:rsidP="0003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963884"/>
      <w:docPartObj>
        <w:docPartGallery w:val="Page Numbers (Bottom of Page)"/>
        <w:docPartUnique/>
      </w:docPartObj>
    </w:sdtPr>
    <w:sdtEndPr/>
    <w:sdtContent>
      <w:p w:rsidR="003433E5" w:rsidRDefault="003433E5">
        <w:pPr>
          <w:pStyle w:val="Pidipagina"/>
          <w:jc w:val="right"/>
        </w:pPr>
        <w:r>
          <w:fldChar w:fldCharType="begin"/>
        </w:r>
        <w:r>
          <w:instrText>PAGE   \* MERGEFORMAT</w:instrText>
        </w:r>
        <w:r>
          <w:fldChar w:fldCharType="separate"/>
        </w:r>
        <w:r w:rsidR="007E7565">
          <w:rPr>
            <w:noProof/>
          </w:rPr>
          <w:t>1</w:t>
        </w:r>
        <w:r>
          <w:fldChar w:fldCharType="end"/>
        </w:r>
      </w:p>
    </w:sdtContent>
  </w:sdt>
  <w:p w:rsidR="003433E5" w:rsidRDefault="003433E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56" w:rsidRDefault="005D3E56" w:rsidP="00037BE0">
      <w:pPr>
        <w:spacing w:after="0" w:line="240" w:lineRule="auto"/>
      </w:pPr>
      <w:r>
        <w:separator/>
      </w:r>
    </w:p>
  </w:footnote>
  <w:footnote w:type="continuationSeparator" w:id="0">
    <w:p w:rsidR="005D3E56" w:rsidRDefault="005D3E56" w:rsidP="00037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738AC"/>
    <w:multiLevelType w:val="hybridMultilevel"/>
    <w:tmpl w:val="E2C8CD04"/>
    <w:lvl w:ilvl="0" w:tplc="C5643124">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B215385"/>
    <w:multiLevelType w:val="hybridMultilevel"/>
    <w:tmpl w:val="E6CA5AE6"/>
    <w:lvl w:ilvl="0" w:tplc="B50E478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105F49"/>
    <w:multiLevelType w:val="hybridMultilevel"/>
    <w:tmpl w:val="FFA2B79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B854C3"/>
    <w:multiLevelType w:val="multilevel"/>
    <w:tmpl w:val="1E609CF6"/>
    <w:lvl w:ilvl="0">
      <w:start w:val="1"/>
      <w:numFmt w:val="decimal"/>
      <w:lvlText w:val="%1."/>
      <w:lvlJc w:val="left"/>
      <w:pPr>
        <w:tabs>
          <w:tab w:val="num" w:pos="720"/>
        </w:tabs>
        <w:ind w:left="720" w:hanging="360"/>
      </w:pPr>
    </w:lvl>
    <w:lvl w:ilvl="1">
      <w:start w:val="1"/>
      <w:numFmt w:val="lowerLetter"/>
      <w:lvlText w:val="%2."/>
      <w:lvlJc w:val="left"/>
      <w:pPr>
        <w:ind w:left="927" w:hanging="360"/>
      </w:pPr>
      <w:rPr>
        <w:rFonts w:ascii="Times New Roman" w:hAnsi="Times New Roman" w:cs="Times New Roman" w:hint="default"/>
        <w:b/>
        <w:color w:val="auto"/>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48316A"/>
    <w:multiLevelType w:val="hybridMultilevel"/>
    <w:tmpl w:val="44F03366"/>
    <w:lvl w:ilvl="0" w:tplc="5062265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E6D23A9"/>
    <w:multiLevelType w:val="hybridMultilevel"/>
    <w:tmpl w:val="0764D658"/>
    <w:lvl w:ilvl="0" w:tplc="D47A0A86">
      <w:numFmt w:val="bullet"/>
      <w:lvlText w:val="-"/>
      <w:lvlJc w:val="left"/>
      <w:pPr>
        <w:ind w:left="927" w:hanging="360"/>
      </w:pPr>
      <w:rPr>
        <w:rFonts w:ascii="Times New Roman" w:eastAsia="Calibr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nsid w:val="7E5C6768"/>
    <w:multiLevelType w:val="hybridMultilevel"/>
    <w:tmpl w:val="9288D33E"/>
    <w:lvl w:ilvl="0" w:tplc="0410000F">
      <w:start w:val="1"/>
      <w:numFmt w:val="decimal"/>
      <w:lvlText w:val="%1."/>
      <w:lvlJc w:val="left"/>
      <w:pPr>
        <w:ind w:left="614" w:hanging="360"/>
      </w:pPr>
      <w:rPr>
        <w:rFonts w:hint="default"/>
      </w:rPr>
    </w:lvl>
    <w:lvl w:ilvl="1" w:tplc="04100019" w:tentative="1">
      <w:start w:val="1"/>
      <w:numFmt w:val="lowerLetter"/>
      <w:lvlText w:val="%2."/>
      <w:lvlJc w:val="left"/>
      <w:pPr>
        <w:ind w:left="1334" w:hanging="360"/>
      </w:pPr>
    </w:lvl>
    <w:lvl w:ilvl="2" w:tplc="0410001B" w:tentative="1">
      <w:start w:val="1"/>
      <w:numFmt w:val="lowerRoman"/>
      <w:lvlText w:val="%3."/>
      <w:lvlJc w:val="right"/>
      <w:pPr>
        <w:ind w:left="2054" w:hanging="180"/>
      </w:pPr>
    </w:lvl>
    <w:lvl w:ilvl="3" w:tplc="0410000F" w:tentative="1">
      <w:start w:val="1"/>
      <w:numFmt w:val="decimal"/>
      <w:lvlText w:val="%4."/>
      <w:lvlJc w:val="left"/>
      <w:pPr>
        <w:ind w:left="2774" w:hanging="360"/>
      </w:pPr>
    </w:lvl>
    <w:lvl w:ilvl="4" w:tplc="04100019" w:tentative="1">
      <w:start w:val="1"/>
      <w:numFmt w:val="lowerLetter"/>
      <w:lvlText w:val="%5."/>
      <w:lvlJc w:val="left"/>
      <w:pPr>
        <w:ind w:left="3494" w:hanging="360"/>
      </w:pPr>
    </w:lvl>
    <w:lvl w:ilvl="5" w:tplc="0410001B" w:tentative="1">
      <w:start w:val="1"/>
      <w:numFmt w:val="lowerRoman"/>
      <w:lvlText w:val="%6."/>
      <w:lvlJc w:val="right"/>
      <w:pPr>
        <w:ind w:left="4214" w:hanging="180"/>
      </w:pPr>
    </w:lvl>
    <w:lvl w:ilvl="6" w:tplc="0410000F" w:tentative="1">
      <w:start w:val="1"/>
      <w:numFmt w:val="decimal"/>
      <w:lvlText w:val="%7."/>
      <w:lvlJc w:val="left"/>
      <w:pPr>
        <w:ind w:left="4934" w:hanging="360"/>
      </w:pPr>
    </w:lvl>
    <w:lvl w:ilvl="7" w:tplc="04100019" w:tentative="1">
      <w:start w:val="1"/>
      <w:numFmt w:val="lowerLetter"/>
      <w:lvlText w:val="%8."/>
      <w:lvlJc w:val="left"/>
      <w:pPr>
        <w:ind w:left="5654" w:hanging="360"/>
      </w:pPr>
    </w:lvl>
    <w:lvl w:ilvl="8" w:tplc="0410001B" w:tentative="1">
      <w:start w:val="1"/>
      <w:numFmt w:val="lowerRoman"/>
      <w:lvlText w:val="%9."/>
      <w:lvlJc w:val="right"/>
      <w:pPr>
        <w:ind w:left="6374" w:hanging="180"/>
      </w:p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FD"/>
    <w:rsid w:val="00037BE0"/>
    <w:rsid w:val="000665C9"/>
    <w:rsid w:val="00137568"/>
    <w:rsid w:val="001C25F8"/>
    <w:rsid w:val="00217819"/>
    <w:rsid w:val="002420A9"/>
    <w:rsid w:val="003055A8"/>
    <w:rsid w:val="003433E5"/>
    <w:rsid w:val="003B1FFB"/>
    <w:rsid w:val="00460EB7"/>
    <w:rsid w:val="004C44AA"/>
    <w:rsid w:val="00503023"/>
    <w:rsid w:val="00515613"/>
    <w:rsid w:val="00554AD9"/>
    <w:rsid w:val="0055722A"/>
    <w:rsid w:val="00585FCB"/>
    <w:rsid w:val="005D3E56"/>
    <w:rsid w:val="006508A6"/>
    <w:rsid w:val="006B1BAC"/>
    <w:rsid w:val="006B4519"/>
    <w:rsid w:val="006D0548"/>
    <w:rsid w:val="00740F77"/>
    <w:rsid w:val="007A4BC5"/>
    <w:rsid w:val="007C3DC9"/>
    <w:rsid w:val="007E7565"/>
    <w:rsid w:val="00817FFD"/>
    <w:rsid w:val="008F6F6C"/>
    <w:rsid w:val="00955507"/>
    <w:rsid w:val="00996399"/>
    <w:rsid w:val="009E6BD9"/>
    <w:rsid w:val="00A97A34"/>
    <w:rsid w:val="00BB5BE9"/>
    <w:rsid w:val="00C11587"/>
    <w:rsid w:val="00C4722E"/>
    <w:rsid w:val="00D3306E"/>
    <w:rsid w:val="00D90636"/>
    <w:rsid w:val="00EA7989"/>
    <w:rsid w:val="00F973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56C87-43D6-4F5C-9CC6-D4E1AAAD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7B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7BE0"/>
  </w:style>
  <w:style w:type="paragraph" w:styleId="Pidipagina">
    <w:name w:val="footer"/>
    <w:basedOn w:val="Normale"/>
    <w:link w:val="PidipaginaCarattere"/>
    <w:uiPriority w:val="99"/>
    <w:unhideWhenUsed/>
    <w:rsid w:val="00037B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7BE0"/>
  </w:style>
  <w:style w:type="paragraph" w:styleId="Testofumetto">
    <w:name w:val="Balloon Text"/>
    <w:basedOn w:val="Normale"/>
    <w:link w:val="TestofumettoCarattere"/>
    <w:uiPriority w:val="99"/>
    <w:semiHidden/>
    <w:unhideWhenUsed/>
    <w:rsid w:val="003433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33E5"/>
    <w:rPr>
      <w:rFonts w:ascii="Segoe UI" w:hAnsi="Segoe UI" w:cs="Segoe UI"/>
      <w:sz w:val="18"/>
      <w:szCs w:val="18"/>
    </w:rPr>
  </w:style>
  <w:style w:type="table" w:styleId="Grigliatabella">
    <w:name w:val="Table Grid"/>
    <w:basedOn w:val="Tabellanormale"/>
    <w:uiPriority w:val="39"/>
    <w:rsid w:val="00503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40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02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2408</Words>
  <Characters>13727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Attanasi</dc:creator>
  <cp:keywords/>
  <dc:description/>
  <cp:lastModifiedBy>User</cp:lastModifiedBy>
  <cp:revision>2</cp:revision>
  <cp:lastPrinted>2017-09-19T10:14:00Z</cp:lastPrinted>
  <dcterms:created xsi:type="dcterms:W3CDTF">2017-09-20T15:55:00Z</dcterms:created>
  <dcterms:modified xsi:type="dcterms:W3CDTF">2017-09-20T15:55:00Z</dcterms:modified>
</cp:coreProperties>
</file>