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BC5" w:rsidRPr="00841BC5" w:rsidRDefault="00841BC5" w:rsidP="00841BC5">
      <w:pPr>
        <w:spacing w:after="0" w:line="360" w:lineRule="auto"/>
        <w:jc w:val="center"/>
        <w:rPr>
          <w:b/>
          <w:sz w:val="36"/>
          <w:szCs w:val="36"/>
        </w:rPr>
      </w:pPr>
      <w:r>
        <w:rPr>
          <w:b/>
          <w:sz w:val="36"/>
          <w:szCs w:val="36"/>
        </w:rPr>
        <w:t>AVVISI DI ACCERTAMENTO TARSU/TIA: LA CASSAZIONE FISSA IL TERMINE INIZIALE PER LA DECADENZA</w:t>
      </w:r>
    </w:p>
    <w:p w:rsidR="000C38B5" w:rsidRPr="000C38B5" w:rsidRDefault="000C38B5" w:rsidP="004F066C">
      <w:pPr>
        <w:spacing w:after="0" w:line="360" w:lineRule="auto"/>
        <w:jc w:val="both"/>
        <w:rPr>
          <w:sz w:val="28"/>
          <w:szCs w:val="28"/>
        </w:rPr>
      </w:pPr>
      <w:r w:rsidRPr="000C38B5">
        <w:rPr>
          <w:sz w:val="28"/>
          <w:szCs w:val="28"/>
        </w:rPr>
        <w:t>La questione controversa concerne la determinazione del termine iniziale per la dichiarazione da parte del contribuente, da cui computare il termine di decadenza del Comune per la notifica dell'avviso di accertamento Tarsu/</w:t>
      </w:r>
      <w:proofErr w:type="spellStart"/>
      <w:r w:rsidRPr="000C38B5">
        <w:rPr>
          <w:sz w:val="28"/>
          <w:szCs w:val="28"/>
        </w:rPr>
        <w:t>Tia</w:t>
      </w:r>
      <w:proofErr w:type="spellEnd"/>
    </w:p>
    <w:p w:rsidR="000C38B5" w:rsidRPr="00F66910" w:rsidRDefault="000C38B5" w:rsidP="004F066C">
      <w:pPr>
        <w:spacing w:after="0" w:line="360" w:lineRule="auto"/>
        <w:jc w:val="both"/>
        <w:rPr>
          <w:b/>
          <w:sz w:val="28"/>
          <w:szCs w:val="28"/>
        </w:rPr>
      </w:pPr>
      <w:r w:rsidRPr="000C38B5">
        <w:rPr>
          <w:sz w:val="28"/>
          <w:szCs w:val="28"/>
        </w:rPr>
        <w:t>L' art. 1, comma 161</w:t>
      </w:r>
      <w:r w:rsidR="00301E77">
        <w:rPr>
          <w:sz w:val="28"/>
          <w:szCs w:val="28"/>
        </w:rPr>
        <w:t>,</w:t>
      </w:r>
      <w:r w:rsidRPr="000C38B5">
        <w:rPr>
          <w:sz w:val="28"/>
          <w:szCs w:val="28"/>
        </w:rPr>
        <w:t xml:space="preserve"> </w:t>
      </w:r>
      <w:r w:rsidR="004F066C">
        <w:rPr>
          <w:sz w:val="28"/>
          <w:szCs w:val="28"/>
        </w:rPr>
        <w:t>L</w:t>
      </w:r>
      <w:r w:rsidRPr="000C38B5">
        <w:rPr>
          <w:sz w:val="28"/>
          <w:szCs w:val="28"/>
        </w:rPr>
        <w:t xml:space="preserve">. </w:t>
      </w:r>
      <w:r w:rsidR="00406278">
        <w:rPr>
          <w:sz w:val="28"/>
          <w:szCs w:val="28"/>
        </w:rPr>
        <w:t>27/12/2006</w:t>
      </w:r>
      <w:r w:rsidRPr="000C38B5">
        <w:rPr>
          <w:sz w:val="28"/>
          <w:szCs w:val="28"/>
        </w:rPr>
        <w:t>,</w:t>
      </w:r>
      <w:r w:rsidR="004F066C">
        <w:rPr>
          <w:sz w:val="28"/>
          <w:szCs w:val="28"/>
        </w:rPr>
        <w:t xml:space="preserve"> </w:t>
      </w:r>
      <w:r w:rsidRPr="000C38B5">
        <w:rPr>
          <w:sz w:val="28"/>
          <w:szCs w:val="28"/>
        </w:rPr>
        <w:t xml:space="preserve">n. 296 prevede che "gli enti locali, relativamente ai tributi di propria competenza, procedono alla rettifica delle dichiarazioni incomplete o infedeli o dei parziali o ritardati versamenti, nonché all'accertamento d'ufficio delle omesse dichiarazioni o degli omessi versamenti, notificando al contribuente, anche a mezzo posta con raccomandata con avviso di ricevimento, un apposito avviso motivato. </w:t>
      </w:r>
      <w:r w:rsidRPr="00F66910">
        <w:rPr>
          <w:b/>
          <w:sz w:val="28"/>
          <w:szCs w:val="28"/>
        </w:rPr>
        <w:t>Gli avvisi di accertamento in rettifica o d'ufficio devono essere notificati</w:t>
      </w:r>
      <w:r w:rsidR="00301E77" w:rsidRPr="00F66910">
        <w:rPr>
          <w:b/>
          <w:sz w:val="28"/>
          <w:szCs w:val="28"/>
        </w:rPr>
        <w:t>,</w:t>
      </w:r>
      <w:r w:rsidRPr="00F66910">
        <w:rPr>
          <w:b/>
          <w:sz w:val="28"/>
          <w:szCs w:val="28"/>
        </w:rPr>
        <w:t xml:space="preserve"> a pena di decadenza, entro il 31 dicembre del quinto anno successivo a quello in cui la dichiarazione o il versamento sono stati o avrebbero dovuto essere effettuati".</w:t>
      </w:r>
    </w:p>
    <w:p w:rsidR="000C38B5" w:rsidRPr="000C38B5" w:rsidRDefault="000C38B5" w:rsidP="004F066C">
      <w:pPr>
        <w:spacing w:after="0" w:line="360" w:lineRule="auto"/>
        <w:jc w:val="both"/>
        <w:rPr>
          <w:sz w:val="28"/>
          <w:szCs w:val="28"/>
        </w:rPr>
      </w:pPr>
      <w:r w:rsidRPr="000C38B5">
        <w:rPr>
          <w:sz w:val="28"/>
          <w:szCs w:val="28"/>
        </w:rPr>
        <w:t xml:space="preserve">Tale disciplina aumenta a cinque anni il termine di decadenza, essendo stato abrogato </w:t>
      </w:r>
      <w:r w:rsidR="00301E77">
        <w:rPr>
          <w:sz w:val="28"/>
          <w:szCs w:val="28"/>
        </w:rPr>
        <w:t xml:space="preserve">con </w:t>
      </w:r>
      <w:r w:rsidRPr="000C38B5">
        <w:rPr>
          <w:sz w:val="28"/>
          <w:szCs w:val="28"/>
        </w:rPr>
        <w:t>l</w:t>
      </w:r>
      <w:r w:rsidR="004F066C">
        <w:rPr>
          <w:sz w:val="28"/>
          <w:szCs w:val="28"/>
        </w:rPr>
        <w:t>'art. 1, comma 172</w:t>
      </w:r>
      <w:r w:rsidR="00301E77">
        <w:rPr>
          <w:sz w:val="28"/>
          <w:szCs w:val="28"/>
        </w:rPr>
        <w:t>,</w:t>
      </w:r>
      <w:r w:rsidR="004F066C">
        <w:rPr>
          <w:sz w:val="28"/>
          <w:szCs w:val="28"/>
        </w:rPr>
        <w:t xml:space="preserve"> L</w:t>
      </w:r>
      <w:r w:rsidRPr="000C38B5">
        <w:rPr>
          <w:sz w:val="28"/>
          <w:szCs w:val="28"/>
        </w:rPr>
        <w:t xml:space="preserve">. 296/2006, con decorrenza </w:t>
      </w:r>
      <w:r w:rsidR="00406278">
        <w:rPr>
          <w:sz w:val="28"/>
          <w:szCs w:val="28"/>
        </w:rPr>
        <w:t>01/07/2007</w:t>
      </w:r>
      <w:r w:rsidR="00301E77">
        <w:rPr>
          <w:sz w:val="28"/>
          <w:szCs w:val="28"/>
        </w:rPr>
        <w:t>,</w:t>
      </w:r>
      <w:r w:rsidRPr="000C38B5">
        <w:rPr>
          <w:sz w:val="28"/>
          <w:szCs w:val="28"/>
        </w:rPr>
        <w:t xml:space="preserve"> il previgente art. 71, c.</w:t>
      </w:r>
      <w:r w:rsidR="004F066C">
        <w:rPr>
          <w:sz w:val="28"/>
          <w:szCs w:val="28"/>
        </w:rPr>
        <w:t>1</w:t>
      </w:r>
      <w:r w:rsidR="00301E77">
        <w:rPr>
          <w:sz w:val="28"/>
          <w:szCs w:val="28"/>
        </w:rPr>
        <w:t>,</w:t>
      </w:r>
      <w:r w:rsidRPr="000C38B5">
        <w:rPr>
          <w:sz w:val="28"/>
          <w:szCs w:val="28"/>
        </w:rPr>
        <w:t xml:space="preserve"> </w:t>
      </w:r>
      <w:proofErr w:type="spellStart"/>
      <w:proofErr w:type="gramStart"/>
      <w:r w:rsidRPr="000C38B5">
        <w:rPr>
          <w:sz w:val="28"/>
          <w:szCs w:val="28"/>
        </w:rPr>
        <w:t>D.Igs</w:t>
      </w:r>
      <w:proofErr w:type="spellEnd"/>
      <w:proofErr w:type="gramEnd"/>
      <w:r w:rsidRPr="000C38B5">
        <w:rPr>
          <w:sz w:val="28"/>
          <w:szCs w:val="28"/>
        </w:rPr>
        <w:t xml:space="preserve"> 507/93 che prevedeva il termine triennale di decadenza.</w:t>
      </w:r>
    </w:p>
    <w:p w:rsidR="00025830" w:rsidRPr="000C38B5" w:rsidRDefault="000C38B5" w:rsidP="004F066C">
      <w:pPr>
        <w:spacing w:after="0" w:line="360" w:lineRule="auto"/>
        <w:jc w:val="both"/>
        <w:rPr>
          <w:sz w:val="28"/>
          <w:szCs w:val="28"/>
        </w:rPr>
      </w:pPr>
      <w:r w:rsidRPr="000C38B5">
        <w:rPr>
          <w:sz w:val="28"/>
          <w:szCs w:val="28"/>
        </w:rPr>
        <w:t>Il</w:t>
      </w:r>
      <w:r w:rsidR="004F066C">
        <w:rPr>
          <w:sz w:val="28"/>
          <w:szCs w:val="28"/>
        </w:rPr>
        <w:t xml:space="preserve"> comma 171 del medesimo art. 1 L</w:t>
      </w:r>
      <w:r w:rsidRPr="000C38B5">
        <w:rPr>
          <w:sz w:val="28"/>
          <w:szCs w:val="28"/>
        </w:rPr>
        <w:t>. n. 296/2006 prevede, inoltre, che le nuove disposizioni, tra cui la nuova procedura di accertamento e i relativi termini</w:t>
      </w:r>
      <w:r w:rsidR="00301E77">
        <w:rPr>
          <w:sz w:val="28"/>
          <w:szCs w:val="28"/>
        </w:rPr>
        <w:t>,</w:t>
      </w:r>
      <w:r w:rsidRPr="000C38B5">
        <w:rPr>
          <w:sz w:val="28"/>
          <w:szCs w:val="28"/>
        </w:rPr>
        <w:t xml:space="preserve"> si applicano anche ai rapporti di imposta precedenti al 1</w:t>
      </w:r>
      <w:r w:rsidR="00406278">
        <w:rPr>
          <w:sz w:val="28"/>
          <w:szCs w:val="28"/>
        </w:rPr>
        <w:t>°</w:t>
      </w:r>
      <w:r w:rsidRPr="000C38B5">
        <w:rPr>
          <w:sz w:val="28"/>
          <w:szCs w:val="28"/>
        </w:rPr>
        <w:t xml:space="preserve"> gennaio 2007, data di entrata in vigore della legge finanziaria.</w:t>
      </w:r>
    </w:p>
    <w:p w:rsidR="000C38B5" w:rsidRPr="000C38B5" w:rsidRDefault="004F066C" w:rsidP="004F066C">
      <w:pPr>
        <w:spacing w:after="0" w:line="360" w:lineRule="auto"/>
        <w:jc w:val="both"/>
        <w:rPr>
          <w:sz w:val="28"/>
          <w:szCs w:val="28"/>
        </w:rPr>
      </w:pPr>
      <w:r>
        <w:rPr>
          <w:sz w:val="28"/>
          <w:szCs w:val="28"/>
        </w:rPr>
        <w:t>L'</w:t>
      </w:r>
      <w:r w:rsidR="000C38B5" w:rsidRPr="000C38B5">
        <w:rPr>
          <w:sz w:val="28"/>
          <w:szCs w:val="28"/>
        </w:rPr>
        <w:t xml:space="preserve">art. 70, comma 1, </w:t>
      </w:r>
      <w:proofErr w:type="spellStart"/>
      <w:proofErr w:type="gramStart"/>
      <w:r w:rsidR="000C38B5" w:rsidRPr="000C38B5">
        <w:rPr>
          <w:sz w:val="28"/>
          <w:szCs w:val="28"/>
        </w:rPr>
        <w:t>D.Igs</w:t>
      </w:r>
      <w:proofErr w:type="spellEnd"/>
      <w:proofErr w:type="gramEnd"/>
      <w:r w:rsidR="000C38B5" w:rsidRPr="000C38B5">
        <w:rPr>
          <w:sz w:val="28"/>
          <w:szCs w:val="28"/>
        </w:rPr>
        <w:t xml:space="preserve"> 507/93 recita "i soggetti di</w:t>
      </w:r>
      <w:r w:rsidR="00301E77">
        <w:rPr>
          <w:sz w:val="28"/>
          <w:szCs w:val="28"/>
        </w:rPr>
        <w:t xml:space="preserve"> cui all'art. 63 presentano al C</w:t>
      </w:r>
      <w:r w:rsidR="000C38B5" w:rsidRPr="000C38B5">
        <w:rPr>
          <w:sz w:val="28"/>
          <w:szCs w:val="28"/>
        </w:rPr>
        <w:t>omune</w:t>
      </w:r>
      <w:r w:rsidR="00301E77">
        <w:rPr>
          <w:sz w:val="28"/>
          <w:szCs w:val="28"/>
        </w:rPr>
        <w:t>,</w:t>
      </w:r>
      <w:r w:rsidR="000C38B5" w:rsidRPr="000C38B5">
        <w:rPr>
          <w:sz w:val="28"/>
          <w:szCs w:val="28"/>
        </w:rPr>
        <w:t xml:space="preserve"> </w:t>
      </w:r>
      <w:r w:rsidR="000C38B5" w:rsidRPr="000C38B5">
        <w:rPr>
          <w:b/>
          <w:bCs/>
          <w:sz w:val="28"/>
          <w:szCs w:val="28"/>
        </w:rPr>
        <w:t xml:space="preserve">entro il 20 gennaio successivo all'inizio dell'occupazione o detenzione, </w:t>
      </w:r>
      <w:r w:rsidR="000C38B5" w:rsidRPr="000C38B5">
        <w:rPr>
          <w:sz w:val="28"/>
          <w:szCs w:val="28"/>
        </w:rPr>
        <w:t>denuncia unica dei locali ed aree tassabili siti nel territorio del Comune"</w:t>
      </w:r>
      <w:r>
        <w:rPr>
          <w:sz w:val="28"/>
          <w:szCs w:val="28"/>
        </w:rPr>
        <w:t>.</w:t>
      </w:r>
    </w:p>
    <w:p w:rsidR="000C38B5" w:rsidRPr="000C38B5" w:rsidRDefault="00301E77" w:rsidP="004F066C">
      <w:pPr>
        <w:spacing w:after="0" w:line="360" w:lineRule="auto"/>
        <w:jc w:val="both"/>
        <w:rPr>
          <w:b/>
          <w:bCs/>
          <w:sz w:val="28"/>
          <w:szCs w:val="28"/>
        </w:rPr>
      </w:pPr>
      <w:r>
        <w:rPr>
          <w:sz w:val="28"/>
          <w:szCs w:val="28"/>
        </w:rPr>
        <w:t>L’ente locale</w:t>
      </w:r>
      <w:r w:rsidR="000C38B5" w:rsidRPr="000C38B5">
        <w:rPr>
          <w:sz w:val="28"/>
          <w:szCs w:val="28"/>
        </w:rPr>
        <w:t xml:space="preserve"> ritiene, invece, che il termine sia quello del </w:t>
      </w:r>
      <w:r w:rsidR="000C38B5" w:rsidRPr="000C38B5">
        <w:rPr>
          <w:b/>
          <w:bCs/>
          <w:sz w:val="28"/>
          <w:szCs w:val="28"/>
        </w:rPr>
        <w:t>"20 gennaio dell'anno successivo all'inizio dell'occupazione"</w:t>
      </w:r>
      <w:r w:rsidR="00082719">
        <w:rPr>
          <w:b/>
          <w:bCs/>
          <w:sz w:val="28"/>
          <w:szCs w:val="28"/>
        </w:rPr>
        <w:t>.</w:t>
      </w:r>
    </w:p>
    <w:p w:rsidR="000C38B5" w:rsidRPr="00301E77" w:rsidRDefault="00301E77" w:rsidP="004F066C">
      <w:pPr>
        <w:spacing w:after="0" w:line="360" w:lineRule="auto"/>
        <w:jc w:val="both"/>
        <w:rPr>
          <w:b/>
          <w:sz w:val="28"/>
          <w:szCs w:val="28"/>
        </w:rPr>
      </w:pPr>
      <w:r w:rsidRPr="00301E77">
        <w:rPr>
          <w:b/>
          <w:sz w:val="28"/>
          <w:szCs w:val="28"/>
        </w:rPr>
        <w:lastRenderedPageBreak/>
        <w:t>Per risolvere il quesito occorre</w:t>
      </w:r>
      <w:r w:rsidR="000C38B5" w:rsidRPr="00301E77">
        <w:rPr>
          <w:b/>
          <w:sz w:val="28"/>
          <w:szCs w:val="28"/>
        </w:rPr>
        <w:t>, al riguardo</w:t>
      </w:r>
      <w:r w:rsidRPr="00301E77">
        <w:rPr>
          <w:b/>
          <w:sz w:val="28"/>
          <w:szCs w:val="28"/>
        </w:rPr>
        <w:t>,</w:t>
      </w:r>
      <w:r w:rsidR="000C38B5" w:rsidRPr="00301E77">
        <w:rPr>
          <w:b/>
          <w:sz w:val="28"/>
          <w:szCs w:val="28"/>
        </w:rPr>
        <w:t xml:space="preserve"> differenziare il caso in cui</w:t>
      </w:r>
      <w:r w:rsidR="00082719" w:rsidRPr="00301E77">
        <w:rPr>
          <w:b/>
          <w:sz w:val="28"/>
          <w:szCs w:val="28"/>
        </w:rPr>
        <w:t xml:space="preserve"> la detenzione o occupazione dei</w:t>
      </w:r>
      <w:r w:rsidR="000C38B5" w:rsidRPr="00301E77">
        <w:rPr>
          <w:b/>
          <w:sz w:val="28"/>
          <w:szCs w:val="28"/>
        </w:rPr>
        <w:t xml:space="preserve"> locali è in corso fin dall'inizio del periodo di imposta e, comunque, prima del 20 gennaio, dal caso in cui tale situazione si sia verificata in epoca successiva.</w:t>
      </w:r>
    </w:p>
    <w:p w:rsidR="000C38B5" w:rsidRPr="00F236DB" w:rsidRDefault="000C38B5" w:rsidP="004F066C">
      <w:pPr>
        <w:spacing w:after="0" w:line="360" w:lineRule="auto"/>
        <w:jc w:val="both"/>
        <w:rPr>
          <w:b/>
          <w:sz w:val="28"/>
          <w:szCs w:val="28"/>
        </w:rPr>
      </w:pPr>
      <w:r w:rsidRPr="00F236DB">
        <w:rPr>
          <w:b/>
          <w:sz w:val="28"/>
          <w:szCs w:val="28"/>
        </w:rPr>
        <w:t>Nel primo caso</w:t>
      </w:r>
      <w:r w:rsidR="00F236DB" w:rsidRPr="00F236DB">
        <w:rPr>
          <w:b/>
          <w:sz w:val="28"/>
          <w:szCs w:val="28"/>
        </w:rPr>
        <w:t>,</w:t>
      </w:r>
      <w:r w:rsidRPr="00F236DB">
        <w:rPr>
          <w:b/>
          <w:sz w:val="28"/>
          <w:szCs w:val="28"/>
        </w:rPr>
        <w:t xml:space="preserve"> il termine di decadenza decorre dall'anno corrente, nel secondo caso</w:t>
      </w:r>
      <w:r w:rsidR="00F236DB" w:rsidRPr="00F236DB">
        <w:rPr>
          <w:b/>
          <w:sz w:val="28"/>
          <w:szCs w:val="28"/>
        </w:rPr>
        <w:t>,</w:t>
      </w:r>
      <w:r w:rsidRPr="00F236DB">
        <w:rPr>
          <w:b/>
          <w:sz w:val="28"/>
          <w:szCs w:val="28"/>
        </w:rPr>
        <w:t xml:space="preserve"> dal 20 gennaio dell'anno successivo.</w:t>
      </w:r>
    </w:p>
    <w:p w:rsidR="000C38B5" w:rsidRPr="000C38B5" w:rsidRDefault="000C38B5" w:rsidP="004F066C">
      <w:pPr>
        <w:spacing w:after="0" w:line="360" w:lineRule="auto"/>
        <w:jc w:val="both"/>
        <w:rPr>
          <w:sz w:val="28"/>
          <w:szCs w:val="28"/>
        </w:rPr>
      </w:pPr>
      <w:r w:rsidRPr="000C38B5">
        <w:rPr>
          <w:sz w:val="28"/>
          <w:szCs w:val="28"/>
        </w:rPr>
        <w:t>La chiara interpretazione del dettato normativo non consente di ritenere</w:t>
      </w:r>
      <w:r w:rsidR="00CF7FC9">
        <w:rPr>
          <w:sz w:val="28"/>
          <w:szCs w:val="28"/>
        </w:rPr>
        <w:t xml:space="preserve"> che</w:t>
      </w:r>
      <w:r w:rsidRPr="000C38B5">
        <w:rPr>
          <w:sz w:val="28"/>
          <w:szCs w:val="28"/>
        </w:rPr>
        <w:t xml:space="preserve"> il termine del 20 gennaio debba riferirsi all'anno successivo a quello in cui la denuncia o il versamento dell'imposta dovevano essere effettuati.</w:t>
      </w:r>
    </w:p>
    <w:p w:rsidR="000C38B5" w:rsidRPr="00F236DB" w:rsidRDefault="000C38B5" w:rsidP="004F066C">
      <w:pPr>
        <w:spacing w:after="0" w:line="360" w:lineRule="auto"/>
        <w:jc w:val="both"/>
        <w:rPr>
          <w:b/>
          <w:sz w:val="28"/>
          <w:szCs w:val="28"/>
        </w:rPr>
      </w:pPr>
      <w:r w:rsidRPr="00F236DB">
        <w:rPr>
          <w:b/>
          <w:sz w:val="28"/>
          <w:szCs w:val="28"/>
        </w:rPr>
        <w:t>Pertanto, a fronte del chiaro dato normativo, le occupazioni iniziate tra il 1</w:t>
      </w:r>
      <w:r w:rsidR="00406278" w:rsidRPr="00F236DB">
        <w:rPr>
          <w:b/>
          <w:sz w:val="28"/>
          <w:szCs w:val="28"/>
        </w:rPr>
        <w:t>°</w:t>
      </w:r>
      <w:r w:rsidRPr="00F236DB">
        <w:rPr>
          <w:b/>
          <w:sz w:val="28"/>
          <w:szCs w:val="28"/>
        </w:rPr>
        <w:t xml:space="preserve"> e il 19 gennaio devono essere dichiarate entro il 20 gennaio immediatamente successivo, cioè dello stesso anno, mentre le occupazioni successive al 20 gennaio vanno dichiarate entro il 20 gennaio dell'anno successivo.</w:t>
      </w:r>
    </w:p>
    <w:p w:rsidR="000C38B5" w:rsidRPr="000C38B5" w:rsidRDefault="000C38B5" w:rsidP="004F066C">
      <w:pPr>
        <w:spacing w:after="0" w:line="360" w:lineRule="auto"/>
        <w:jc w:val="both"/>
        <w:rPr>
          <w:sz w:val="28"/>
          <w:szCs w:val="28"/>
        </w:rPr>
      </w:pPr>
      <w:r w:rsidRPr="000C38B5">
        <w:rPr>
          <w:sz w:val="28"/>
          <w:szCs w:val="28"/>
        </w:rPr>
        <w:t xml:space="preserve">Tale termine costituisce un non irragionevole spartiacque, nella applicazione del </w:t>
      </w:r>
      <w:r w:rsidR="00082719">
        <w:rPr>
          <w:sz w:val="28"/>
          <w:szCs w:val="28"/>
        </w:rPr>
        <w:t>c</w:t>
      </w:r>
      <w:r w:rsidRPr="000C38B5">
        <w:rPr>
          <w:sz w:val="28"/>
          <w:szCs w:val="28"/>
        </w:rPr>
        <w:t>.d. doppio binario, anche se per le occupazioni iniziate il 19 gennaio il termine sarà di un solo giorno, mentre per quelle iniziate il 21 gennaio sarà di 364 giorni. Ove si accedesse alla tesi del Comune, non illogica ma pri</w:t>
      </w:r>
      <w:r w:rsidR="00F236DB">
        <w:rPr>
          <w:sz w:val="28"/>
          <w:szCs w:val="28"/>
        </w:rPr>
        <w:t>v</w:t>
      </w:r>
      <w:r w:rsidRPr="000C38B5">
        <w:rPr>
          <w:sz w:val="28"/>
          <w:szCs w:val="28"/>
        </w:rPr>
        <w:t>a di supporto</w:t>
      </w:r>
      <w:r w:rsidR="00166271">
        <w:rPr>
          <w:sz w:val="28"/>
          <w:szCs w:val="28"/>
        </w:rPr>
        <w:t xml:space="preserve"> normativo, </w:t>
      </w:r>
      <w:r w:rsidRPr="000C38B5">
        <w:rPr>
          <w:sz w:val="28"/>
          <w:szCs w:val="28"/>
        </w:rPr>
        <w:t>le medesime conseguenze si verificherebbero nel caso di</w:t>
      </w:r>
      <w:r w:rsidR="00166271">
        <w:rPr>
          <w:sz w:val="28"/>
          <w:szCs w:val="28"/>
        </w:rPr>
        <w:t xml:space="preserve"> </w:t>
      </w:r>
      <w:r w:rsidRPr="000C38B5">
        <w:rPr>
          <w:sz w:val="28"/>
          <w:szCs w:val="28"/>
        </w:rPr>
        <w:t>occupazione ini</w:t>
      </w:r>
      <w:r w:rsidR="00166271">
        <w:rPr>
          <w:sz w:val="28"/>
          <w:szCs w:val="28"/>
        </w:rPr>
        <w:t xml:space="preserve">ziata il 31 dicembre rispetto a </w:t>
      </w:r>
      <w:r w:rsidRPr="000C38B5">
        <w:rPr>
          <w:sz w:val="28"/>
          <w:szCs w:val="28"/>
        </w:rPr>
        <w:t>quella iniziata il 1</w:t>
      </w:r>
      <w:r w:rsidR="00406278">
        <w:rPr>
          <w:sz w:val="28"/>
          <w:szCs w:val="28"/>
        </w:rPr>
        <w:t>°</w:t>
      </w:r>
      <w:r w:rsidRPr="000C38B5">
        <w:rPr>
          <w:sz w:val="28"/>
          <w:szCs w:val="28"/>
        </w:rPr>
        <w:t xml:space="preserve"> gennaio</w:t>
      </w:r>
      <w:r w:rsidR="00166271">
        <w:rPr>
          <w:sz w:val="28"/>
          <w:szCs w:val="28"/>
        </w:rPr>
        <w:t xml:space="preserve"> </w:t>
      </w:r>
      <w:r w:rsidRPr="000C38B5">
        <w:rPr>
          <w:sz w:val="28"/>
          <w:szCs w:val="28"/>
        </w:rPr>
        <w:t>dell'anno successivo (</w:t>
      </w:r>
      <w:proofErr w:type="spellStart"/>
      <w:r w:rsidRPr="000C38B5">
        <w:rPr>
          <w:sz w:val="28"/>
          <w:szCs w:val="28"/>
        </w:rPr>
        <w:t>cfr</w:t>
      </w:r>
      <w:proofErr w:type="spellEnd"/>
      <w:r w:rsidRPr="000C38B5">
        <w:rPr>
          <w:sz w:val="28"/>
          <w:szCs w:val="28"/>
        </w:rPr>
        <w:t xml:space="preserve"> Cass. </w:t>
      </w:r>
      <w:r w:rsidR="00406278">
        <w:rPr>
          <w:sz w:val="28"/>
          <w:szCs w:val="28"/>
        </w:rPr>
        <w:t>21/06/2016</w:t>
      </w:r>
      <w:r w:rsidRPr="000C38B5">
        <w:rPr>
          <w:sz w:val="28"/>
          <w:szCs w:val="28"/>
        </w:rPr>
        <w:t xml:space="preserve"> n. 12795)</w:t>
      </w:r>
      <w:r w:rsidR="00166271">
        <w:rPr>
          <w:sz w:val="28"/>
          <w:szCs w:val="28"/>
        </w:rPr>
        <w:t>.</w:t>
      </w:r>
    </w:p>
    <w:p w:rsidR="000C38B5" w:rsidRPr="001E1CEA" w:rsidRDefault="000C38B5" w:rsidP="004F066C">
      <w:pPr>
        <w:spacing w:after="0" w:line="360" w:lineRule="auto"/>
        <w:jc w:val="both"/>
        <w:rPr>
          <w:b/>
          <w:sz w:val="28"/>
          <w:szCs w:val="28"/>
        </w:rPr>
      </w:pPr>
      <w:r w:rsidRPr="001E1CEA">
        <w:rPr>
          <w:b/>
          <w:sz w:val="28"/>
          <w:szCs w:val="28"/>
        </w:rPr>
        <w:t>Ove il legislatore avesse inteso postergare il momento dichiarativo all'anno successivo l'avrebbe espressamente previsto</w:t>
      </w:r>
      <w:r w:rsidR="00F236DB" w:rsidRPr="001E1CEA">
        <w:rPr>
          <w:b/>
          <w:sz w:val="28"/>
          <w:szCs w:val="28"/>
        </w:rPr>
        <w:t>,</w:t>
      </w:r>
      <w:r w:rsidRPr="001E1CEA">
        <w:rPr>
          <w:b/>
          <w:sz w:val="28"/>
          <w:szCs w:val="28"/>
        </w:rPr>
        <w:t xml:space="preserve"> così come individuato in tema di Ici dall'art. 10, comma 4, </w:t>
      </w:r>
      <w:proofErr w:type="spellStart"/>
      <w:r w:rsidRPr="001E1CEA">
        <w:rPr>
          <w:b/>
          <w:sz w:val="28"/>
          <w:szCs w:val="28"/>
        </w:rPr>
        <w:t>D.Igs</w:t>
      </w:r>
      <w:proofErr w:type="spellEnd"/>
      <w:r w:rsidRPr="001E1CEA">
        <w:rPr>
          <w:b/>
          <w:sz w:val="28"/>
          <w:szCs w:val="28"/>
        </w:rPr>
        <w:t xml:space="preserve"> 504/92 </w:t>
      </w:r>
      <w:r w:rsidR="00F236DB" w:rsidRPr="001E1CEA">
        <w:rPr>
          <w:b/>
          <w:sz w:val="28"/>
          <w:szCs w:val="28"/>
        </w:rPr>
        <w:t xml:space="preserve">che </w:t>
      </w:r>
      <w:r w:rsidRPr="001E1CEA">
        <w:rPr>
          <w:b/>
          <w:sz w:val="28"/>
          <w:szCs w:val="28"/>
        </w:rPr>
        <w:t>recita "i soggetti passivi devono dichiarare gli immobili posseduti nel territorio dello Stato, con esclusione di quelli esenti dall'imposta di cui all'articolo 7,su apposito modulo entro il termine di presentazione della dichiarazione dei redditi relativa all'anno in cui il possesso ha avuto inizio", cioè l'anno successivo a quello oggetto di imposizione.</w:t>
      </w:r>
    </w:p>
    <w:p w:rsidR="00F236DB" w:rsidRPr="00F236DB" w:rsidRDefault="00F236DB" w:rsidP="004F066C">
      <w:pPr>
        <w:spacing w:after="0" w:line="360" w:lineRule="auto"/>
        <w:jc w:val="both"/>
        <w:rPr>
          <w:b/>
          <w:sz w:val="28"/>
          <w:szCs w:val="28"/>
        </w:rPr>
      </w:pPr>
      <w:r>
        <w:rPr>
          <w:b/>
          <w:sz w:val="28"/>
          <w:szCs w:val="28"/>
        </w:rPr>
        <w:lastRenderedPageBreak/>
        <w:t>Questi importanti principi sono stati stabiliti dalla Corte di Cassazione – Sez. Tributaria Civile – con la sentenza n. 22224 depositata il 03 novembre 2016.</w:t>
      </w:r>
    </w:p>
    <w:p w:rsidR="000C38B5" w:rsidRDefault="000C38B5" w:rsidP="004F066C">
      <w:pPr>
        <w:spacing w:after="0" w:line="360" w:lineRule="auto"/>
        <w:jc w:val="both"/>
        <w:rPr>
          <w:sz w:val="28"/>
          <w:szCs w:val="28"/>
        </w:rPr>
      </w:pPr>
      <w:r w:rsidRPr="000C38B5">
        <w:rPr>
          <w:sz w:val="28"/>
          <w:szCs w:val="28"/>
        </w:rPr>
        <w:t>Nel caso di specie</w:t>
      </w:r>
      <w:r w:rsidR="00DC0815">
        <w:rPr>
          <w:sz w:val="28"/>
          <w:szCs w:val="28"/>
        </w:rPr>
        <w:t>,</w:t>
      </w:r>
      <w:r w:rsidR="00B93384">
        <w:rPr>
          <w:sz w:val="28"/>
          <w:szCs w:val="28"/>
        </w:rPr>
        <w:t xml:space="preserve"> oggetto di causa,</w:t>
      </w:r>
      <w:r w:rsidRPr="000C38B5">
        <w:rPr>
          <w:sz w:val="28"/>
          <w:szCs w:val="28"/>
        </w:rPr>
        <w:t xml:space="preserve"> non </w:t>
      </w:r>
      <w:r w:rsidR="00B93384">
        <w:rPr>
          <w:sz w:val="28"/>
          <w:szCs w:val="28"/>
        </w:rPr>
        <w:t>era</w:t>
      </w:r>
      <w:r w:rsidRPr="000C38B5">
        <w:rPr>
          <w:sz w:val="28"/>
          <w:szCs w:val="28"/>
        </w:rPr>
        <w:t xml:space="preserve"> controverso che l'occupazione </w:t>
      </w:r>
      <w:r w:rsidR="001350B6">
        <w:rPr>
          <w:sz w:val="28"/>
          <w:szCs w:val="28"/>
        </w:rPr>
        <w:t>fosse</w:t>
      </w:r>
      <w:r w:rsidRPr="000C38B5">
        <w:rPr>
          <w:sz w:val="28"/>
          <w:szCs w:val="28"/>
        </w:rPr>
        <w:t xml:space="preserve"> iniziata fin dall'inizio dell'anno e quindi il termine per potere avanzare la pretesa impositiva da parte del</w:t>
      </w:r>
      <w:r w:rsidR="00166271">
        <w:rPr>
          <w:sz w:val="28"/>
          <w:szCs w:val="28"/>
        </w:rPr>
        <w:t>l</w:t>
      </w:r>
      <w:r w:rsidRPr="000C38B5">
        <w:rPr>
          <w:sz w:val="28"/>
          <w:szCs w:val="28"/>
        </w:rPr>
        <w:t xml:space="preserve">'Ente, relativamente alla tassa per il 2003, era il </w:t>
      </w:r>
      <w:r w:rsidR="00406278">
        <w:rPr>
          <w:sz w:val="28"/>
          <w:szCs w:val="28"/>
        </w:rPr>
        <w:t>31/12/2008</w:t>
      </w:r>
      <w:r w:rsidRPr="000C38B5">
        <w:rPr>
          <w:sz w:val="28"/>
          <w:szCs w:val="28"/>
        </w:rPr>
        <w:t xml:space="preserve"> e </w:t>
      </w:r>
      <w:r w:rsidR="00946C3D">
        <w:rPr>
          <w:sz w:val="28"/>
          <w:szCs w:val="28"/>
        </w:rPr>
        <w:t>doveva</w:t>
      </w:r>
      <w:r w:rsidRPr="000C38B5">
        <w:rPr>
          <w:sz w:val="28"/>
          <w:szCs w:val="28"/>
        </w:rPr>
        <w:t>, quindi</w:t>
      </w:r>
      <w:r w:rsidR="00946C3D">
        <w:rPr>
          <w:sz w:val="28"/>
          <w:szCs w:val="28"/>
        </w:rPr>
        <w:t>,</w:t>
      </w:r>
      <w:r w:rsidRPr="000C38B5">
        <w:rPr>
          <w:sz w:val="28"/>
          <w:szCs w:val="28"/>
        </w:rPr>
        <w:t xml:space="preserve"> considerarsi tardivo, per intervenuta decadenz</w:t>
      </w:r>
      <w:r w:rsidR="00946C3D">
        <w:rPr>
          <w:sz w:val="28"/>
          <w:szCs w:val="28"/>
        </w:rPr>
        <w:t>a, l'accertamento notificato l’</w:t>
      </w:r>
      <w:r w:rsidR="00406278">
        <w:rPr>
          <w:sz w:val="28"/>
          <w:szCs w:val="28"/>
        </w:rPr>
        <w:t>11/03/2009</w:t>
      </w:r>
      <w:r w:rsidRPr="000C38B5">
        <w:rPr>
          <w:sz w:val="28"/>
          <w:szCs w:val="28"/>
        </w:rPr>
        <w:t>.</w:t>
      </w:r>
    </w:p>
    <w:p w:rsidR="00D538CC" w:rsidRPr="00D538CC" w:rsidRDefault="00D538CC" w:rsidP="004F066C">
      <w:pPr>
        <w:spacing w:after="0" w:line="360" w:lineRule="auto"/>
        <w:jc w:val="both"/>
        <w:rPr>
          <w:b/>
          <w:sz w:val="28"/>
          <w:szCs w:val="28"/>
        </w:rPr>
      </w:pPr>
      <w:bookmarkStart w:id="0" w:name="_GoBack"/>
      <w:r w:rsidRPr="00D538CC">
        <w:rPr>
          <w:b/>
          <w:sz w:val="28"/>
          <w:szCs w:val="28"/>
        </w:rPr>
        <w:t>I contribuenti devono tenere conto di questi principi quando intendono contestare la decadenza degli accertamenti dei Comuni.</w:t>
      </w:r>
    </w:p>
    <w:bookmarkEnd w:id="0"/>
    <w:p w:rsidR="000C38B5" w:rsidRDefault="00CF2D0C" w:rsidP="004F066C">
      <w:pPr>
        <w:spacing w:after="0" w:line="360" w:lineRule="auto"/>
        <w:jc w:val="both"/>
        <w:rPr>
          <w:b/>
          <w:sz w:val="28"/>
          <w:szCs w:val="28"/>
        </w:rPr>
      </w:pPr>
      <w:proofErr w:type="gramStart"/>
      <w:r>
        <w:rPr>
          <w:b/>
          <w:sz w:val="28"/>
          <w:szCs w:val="28"/>
        </w:rPr>
        <w:t xml:space="preserve">Lecce,   </w:t>
      </w:r>
      <w:proofErr w:type="gramEnd"/>
      <w:r w:rsidR="00946C3D">
        <w:rPr>
          <w:b/>
          <w:sz w:val="28"/>
          <w:szCs w:val="28"/>
        </w:rPr>
        <w:t>14</w:t>
      </w:r>
      <w:r>
        <w:rPr>
          <w:b/>
          <w:sz w:val="28"/>
          <w:szCs w:val="28"/>
        </w:rPr>
        <w:t xml:space="preserve">  </w:t>
      </w:r>
      <w:r w:rsidR="00946C3D">
        <w:rPr>
          <w:b/>
          <w:sz w:val="28"/>
          <w:szCs w:val="28"/>
        </w:rPr>
        <w:t>ottobre</w:t>
      </w:r>
      <w:r>
        <w:rPr>
          <w:b/>
          <w:sz w:val="28"/>
          <w:szCs w:val="28"/>
        </w:rPr>
        <w:t xml:space="preserve"> 2017</w:t>
      </w:r>
    </w:p>
    <w:p w:rsidR="00CF2D0C" w:rsidRDefault="00CF2D0C" w:rsidP="004F066C">
      <w:pPr>
        <w:spacing w:after="0" w:line="360" w:lineRule="auto"/>
        <w:jc w:val="both"/>
        <w:rPr>
          <w:b/>
          <w:sz w:val="28"/>
          <w:szCs w:val="28"/>
        </w:rPr>
      </w:pPr>
    </w:p>
    <w:p w:rsidR="00CF2D0C" w:rsidRDefault="00CF2D0C" w:rsidP="004F066C">
      <w:pPr>
        <w:spacing w:after="0" w:line="360" w:lineRule="auto"/>
        <w:jc w:val="both"/>
        <w:rPr>
          <w:b/>
          <w:sz w:val="28"/>
          <w:szCs w:val="28"/>
        </w:rPr>
      </w:pPr>
    </w:p>
    <w:p w:rsidR="00CF2D0C" w:rsidRPr="00CF2D0C" w:rsidRDefault="00CF2D0C" w:rsidP="00CF2D0C">
      <w:pPr>
        <w:spacing w:after="0" w:line="360" w:lineRule="auto"/>
        <w:jc w:val="center"/>
        <w:rPr>
          <w:b/>
          <w:bCs/>
          <w:sz w:val="28"/>
          <w:szCs w:val="28"/>
        </w:rPr>
      </w:pPr>
      <w:r w:rsidRPr="00CF2D0C">
        <w:rPr>
          <w:b/>
          <w:bCs/>
          <w:sz w:val="28"/>
          <w:szCs w:val="28"/>
        </w:rPr>
        <w:t>AVV. MAURIZIO VILLANI</w:t>
      </w:r>
    </w:p>
    <w:p w:rsidR="00CF2D0C" w:rsidRPr="00CF2D0C" w:rsidRDefault="00CF2D0C" w:rsidP="00CF2D0C">
      <w:pPr>
        <w:spacing w:after="0" w:line="360" w:lineRule="auto"/>
        <w:jc w:val="center"/>
        <w:rPr>
          <w:b/>
          <w:bCs/>
          <w:sz w:val="28"/>
          <w:szCs w:val="28"/>
        </w:rPr>
      </w:pPr>
      <w:r w:rsidRPr="00CF2D0C">
        <w:rPr>
          <w:b/>
          <w:bCs/>
          <w:sz w:val="28"/>
          <w:szCs w:val="28"/>
        </w:rPr>
        <w:t>Avvocato Tributarista in Lecce</w:t>
      </w:r>
    </w:p>
    <w:p w:rsidR="00CF2D0C" w:rsidRPr="00CF2D0C" w:rsidRDefault="00CF2D0C" w:rsidP="00CF2D0C">
      <w:pPr>
        <w:spacing w:after="0" w:line="360" w:lineRule="auto"/>
        <w:jc w:val="center"/>
        <w:rPr>
          <w:b/>
          <w:sz w:val="28"/>
          <w:szCs w:val="28"/>
        </w:rPr>
      </w:pPr>
      <w:r w:rsidRPr="00CF2D0C">
        <w:rPr>
          <w:b/>
          <w:sz w:val="28"/>
          <w:szCs w:val="28"/>
        </w:rPr>
        <w:t>Patrocinante in Cassazione</w:t>
      </w:r>
    </w:p>
    <w:p w:rsidR="00CF2D0C" w:rsidRPr="00CF2D0C" w:rsidRDefault="005F0709" w:rsidP="00CF2D0C">
      <w:pPr>
        <w:spacing w:after="0" w:line="360" w:lineRule="auto"/>
        <w:jc w:val="center"/>
        <w:rPr>
          <w:b/>
          <w:bCs/>
          <w:sz w:val="28"/>
          <w:szCs w:val="28"/>
        </w:rPr>
      </w:pPr>
      <w:hyperlink r:id="rId6" w:history="1">
        <w:r w:rsidR="00CF2D0C" w:rsidRPr="00CF2D0C">
          <w:rPr>
            <w:rStyle w:val="Collegamentoipertestuale"/>
            <w:sz w:val="28"/>
            <w:szCs w:val="28"/>
          </w:rPr>
          <w:t>www.studiotributariovillani.it</w:t>
        </w:r>
      </w:hyperlink>
      <w:r w:rsidR="00CF2D0C" w:rsidRPr="00CF2D0C">
        <w:rPr>
          <w:b/>
          <w:bCs/>
          <w:sz w:val="28"/>
          <w:szCs w:val="28"/>
        </w:rPr>
        <w:t xml:space="preserve"> - e-mail </w:t>
      </w:r>
      <w:hyperlink r:id="rId7" w:history="1">
        <w:r w:rsidR="00CF2D0C" w:rsidRPr="00CF2D0C">
          <w:rPr>
            <w:rStyle w:val="Collegamentoipertestuale"/>
            <w:sz w:val="28"/>
            <w:szCs w:val="28"/>
          </w:rPr>
          <w:t>avvocato@studiotributariovillani.it</w:t>
        </w:r>
      </w:hyperlink>
    </w:p>
    <w:p w:rsidR="00CF2D0C" w:rsidRPr="00CF2D0C" w:rsidRDefault="00CF2D0C" w:rsidP="00CF2D0C">
      <w:pPr>
        <w:spacing w:after="0" w:line="360" w:lineRule="auto"/>
        <w:jc w:val="center"/>
        <w:rPr>
          <w:b/>
          <w:sz w:val="28"/>
          <w:szCs w:val="28"/>
        </w:rPr>
      </w:pPr>
    </w:p>
    <w:p w:rsidR="00CF2D0C" w:rsidRPr="00061157" w:rsidRDefault="00CF2D0C" w:rsidP="00CF2D0C">
      <w:pPr>
        <w:spacing w:after="0" w:line="360" w:lineRule="auto"/>
        <w:jc w:val="center"/>
        <w:rPr>
          <w:b/>
          <w:sz w:val="28"/>
          <w:szCs w:val="28"/>
        </w:rPr>
      </w:pPr>
    </w:p>
    <w:sectPr w:rsidR="00CF2D0C" w:rsidRPr="0006115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09" w:rsidRDefault="005F0709" w:rsidP="004F066C">
      <w:pPr>
        <w:spacing w:after="0" w:line="240" w:lineRule="auto"/>
      </w:pPr>
      <w:r>
        <w:separator/>
      </w:r>
    </w:p>
  </w:endnote>
  <w:endnote w:type="continuationSeparator" w:id="0">
    <w:p w:rsidR="005F0709" w:rsidRDefault="005F0709" w:rsidP="004F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28255"/>
      <w:docPartObj>
        <w:docPartGallery w:val="Page Numbers (Bottom of Page)"/>
        <w:docPartUnique/>
      </w:docPartObj>
    </w:sdtPr>
    <w:sdtEndPr/>
    <w:sdtContent>
      <w:p w:rsidR="004F066C" w:rsidRDefault="004F066C">
        <w:pPr>
          <w:pStyle w:val="Pidipagina"/>
          <w:jc w:val="right"/>
        </w:pPr>
        <w:r>
          <w:fldChar w:fldCharType="begin"/>
        </w:r>
        <w:r>
          <w:instrText>PAGE   \* MERGEFORMAT</w:instrText>
        </w:r>
        <w:r>
          <w:fldChar w:fldCharType="separate"/>
        </w:r>
        <w:r w:rsidR="00D538CC">
          <w:rPr>
            <w:noProof/>
          </w:rPr>
          <w:t>3</w:t>
        </w:r>
        <w:r>
          <w:fldChar w:fldCharType="end"/>
        </w:r>
      </w:p>
    </w:sdtContent>
  </w:sdt>
  <w:p w:rsidR="004F066C" w:rsidRDefault="004F06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09" w:rsidRDefault="005F0709" w:rsidP="004F066C">
      <w:pPr>
        <w:spacing w:after="0" w:line="240" w:lineRule="auto"/>
      </w:pPr>
      <w:r>
        <w:separator/>
      </w:r>
    </w:p>
  </w:footnote>
  <w:footnote w:type="continuationSeparator" w:id="0">
    <w:p w:rsidR="005F0709" w:rsidRDefault="005F0709" w:rsidP="004F0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B5"/>
    <w:rsid w:val="00025830"/>
    <w:rsid w:val="00061157"/>
    <w:rsid w:val="00082719"/>
    <w:rsid w:val="000C38B5"/>
    <w:rsid w:val="001350B6"/>
    <w:rsid w:val="00166271"/>
    <w:rsid w:val="001E1CEA"/>
    <w:rsid w:val="00301E77"/>
    <w:rsid w:val="00406278"/>
    <w:rsid w:val="004F066C"/>
    <w:rsid w:val="00565C8A"/>
    <w:rsid w:val="005F0709"/>
    <w:rsid w:val="00841BC5"/>
    <w:rsid w:val="00946C3D"/>
    <w:rsid w:val="00B93384"/>
    <w:rsid w:val="00BA2393"/>
    <w:rsid w:val="00CF2D0C"/>
    <w:rsid w:val="00CF7FC9"/>
    <w:rsid w:val="00D538CC"/>
    <w:rsid w:val="00DC0815"/>
    <w:rsid w:val="00F236DB"/>
    <w:rsid w:val="00F66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0A44"/>
  <w15:chartTrackingRefBased/>
  <w15:docId w15:val="{6F50EAE7-3774-41AE-9A3C-88C6F20A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5">
    <w:name w:val="Style 5"/>
    <w:basedOn w:val="Normale"/>
    <w:uiPriority w:val="99"/>
    <w:rsid w:val="000C38B5"/>
    <w:pPr>
      <w:widowControl w:val="0"/>
      <w:autoSpaceDE w:val="0"/>
      <w:autoSpaceDN w:val="0"/>
      <w:spacing w:before="144" w:after="0" w:line="360" w:lineRule="auto"/>
      <w:jc w:val="both"/>
    </w:pPr>
    <w:rPr>
      <w:rFonts w:ascii="Verdana" w:eastAsiaTheme="minorEastAsia" w:hAnsi="Verdana" w:cs="Verdana"/>
      <w:sz w:val="19"/>
      <w:szCs w:val="19"/>
      <w:lang w:eastAsia="it-IT"/>
    </w:rPr>
  </w:style>
  <w:style w:type="character" w:customStyle="1" w:styleId="CharacterStyle3">
    <w:name w:val="Character Style 3"/>
    <w:uiPriority w:val="99"/>
    <w:rsid w:val="000C38B5"/>
    <w:rPr>
      <w:rFonts w:ascii="Verdana" w:hAnsi="Verdana" w:cs="Verdana"/>
      <w:sz w:val="19"/>
      <w:szCs w:val="19"/>
    </w:rPr>
  </w:style>
  <w:style w:type="paragraph" w:customStyle="1" w:styleId="Style1">
    <w:name w:val="Style 1"/>
    <w:basedOn w:val="Normale"/>
    <w:uiPriority w:val="99"/>
    <w:rsid w:val="000C38B5"/>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customStyle="1" w:styleId="Style7">
    <w:name w:val="Style 7"/>
    <w:basedOn w:val="Normale"/>
    <w:uiPriority w:val="99"/>
    <w:rsid w:val="000C38B5"/>
    <w:pPr>
      <w:widowControl w:val="0"/>
      <w:autoSpaceDE w:val="0"/>
      <w:autoSpaceDN w:val="0"/>
      <w:spacing w:before="108" w:after="0" w:line="240" w:lineRule="auto"/>
    </w:pPr>
    <w:rPr>
      <w:rFonts w:ascii="Verdana" w:eastAsiaTheme="minorEastAsia" w:hAnsi="Verdana" w:cs="Verdana"/>
      <w:sz w:val="19"/>
      <w:szCs w:val="19"/>
      <w:lang w:eastAsia="it-IT"/>
    </w:rPr>
  </w:style>
  <w:style w:type="paragraph" w:customStyle="1" w:styleId="Style6">
    <w:name w:val="Style 6"/>
    <w:basedOn w:val="Normale"/>
    <w:uiPriority w:val="99"/>
    <w:rsid w:val="000C38B5"/>
    <w:pPr>
      <w:widowControl w:val="0"/>
      <w:autoSpaceDE w:val="0"/>
      <w:autoSpaceDN w:val="0"/>
      <w:spacing w:before="108" w:after="0" w:line="360" w:lineRule="auto"/>
      <w:ind w:right="792"/>
      <w:jc w:val="both"/>
    </w:pPr>
    <w:rPr>
      <w:rFonts w:ascii="Verdana" w:eastAsiaTheme="minorEastAsia" w:hAnsi="Verdana" w:cs="Verdana"/>
      <w:sz w:val="19"/>
      <w:szCs w:val="19"/>
      <w:lang w:eastAsia="it-IT"/>
    </w:rPr>
  </w:style>
  <w:style w:type="character" w:customStyle="1" w:styleId="CharacterStyle2">
    <w:name w:val="Character Style 2"/>
    <w:uiPriority w:val="99"/>
    <w:rsid w:val="000C38B5"/>
    <w:rPr>
      <w:sz w:val="20"/>
      <w:szCs w:val="20"/>
    </w:rPr>
  </w:style>
  <w:style w:type="paragraph" w:styleId="Intestazione">
    <w:name w:val="header"/>
    <w:basedOn w:val="Normale"/>
    <w:link w:val="IntestazioneCarattere"/>
    <w:uiPriority w:val="99"/>
    <w:unhideWhenUsed/>
    <w:rsid w:val="004F06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66C"/>
  </w:style>
  <w:style w:type="paragraph" w:styleId="Pidipagina">
    <w:name w:val="footer"/>
    <w:basedOn w:val="Normale"/>
    <w:link w:val="PidipaginaCarattere"/>
    <w:uiPriority w:val="99"/>
    <w:unhideWhenUsed/>
    <w:rsid w:val="004F06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66C"/>
  </w:style>
  <w:style w:type="paragraph" w:styleId="Testofumetto">
    <w:name w:val="Balloon Text"/>
    <w:basedOn w:val="Normale"/>
    <w:link w:val="TestofumettoCarattere"/>
    <w:uiPriority w:val="99"/>
    <w:semiHidden/>
    <w:unhideWhenUsed/>
    <w:rsid w:val="00CF2D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2D0C"/>
    <w:rPr>
      <w:rFonts w:ascii="Segoe UI" w:hAnsi="Segoe UI" w:cs="Segoe UI"/>
      <w:sz w:val="18"/>
      <w:szCs w:val="18"/>
    </w:rPr>
  </w:style>
  <w:style w:type="character" w:styleId="Collegamentoipertestuale">
    <w:name w:val="Hyperlink"/>
    <w:basedOn w:val="Carpredefinitoparagrafo"/>
    <w:uiPriority w:val="99"/>
    <w:unhideWhenUsed/>
    <w:rsid w:val="00CF2D0C"/>
    <w:rPr>
      <w:color w:val="0563C1" w:themeColor="hyperlink"/>
      <w:u w:val="single"/>
    </w:rPr>
  </w:style>
  <w:style w:type="character" w:styleId="Menzionenonrisolta">
    <w:name w:val="Unresolved Mention"/>
    <w:basedOn w:val="Carpredefinitoparagrafo"/>
    <w:uiPriority w:val="99"/>
    <w:semiHidden/>
    <w:unhideWhenUsed/>
    <w:rsid w:val="00CF2D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721</Words>
  <Characters>4111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Francesca Faggiano</cp:lastModifiedBy>
  <cp:revision>16</cp:revision>
  <cp:lastPrinted>2017-07-11T09:14:00Z</cp:lastPrinted>
  <dcterms:created xsi:type="dcterms:W3CDTF">2017-07-11T09:02:00Z</dcterms:created>
  <dcterms:modified xsi:type="dcterms:W3CDTF">2017-10-14T07:46:00Z</dcterms:modified>
</cp:coreProperties>
</file>