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2476" w:rsidRDefault="00D32476" w:rsidP="00D32476">
      <w:pPr>
        <w:spacing w:after="0" w:line="360" w:lineRule="auto"/>
        <w:jc w:val="center"/>
        <w:rPr>
          <w:rFonts w:ascii="Times New Roman" w:hAnsi="Times New Roman" w:cs="Times New Roman"/>
          <w:b/>
          <w:sz w:val="36"/>
          <w:szCs w:val="36"/>
        </w:rPr>
      </w:pPr>
      <w:bookmarkStart w:id="0" w:name="_GoBack"/>
      <w:bookmarkEnd w:id="0"/>
      <w:r w:rsidRPr="00883427">
        <w:rPr>
          <w:rFonts w:ascii="Times New Roman" w:hAnsi="Times New Roman" w:cs="Times New Roman"/>
          <w:b/>
          <w:sz w:val="36"/>
          <w:szCs w:val="36"/>
        </w:rPr>
        <w:t>LA GIURISPRUDENZA DELLA CORTE DI CASSAZIONE</w:t>
      </w:r>
    </w:p>
    <w:p w:rsidR="00A5566D" w:rsidRPr="00883427" w:rsidRDefault="00A5566D" w:rsidP="00D32476">
      <w:pPr>
        <w:spacing w:after="0" w:line="360" w:lineRule="auto"/>
        <w:jc w:val="center"/>
        <w:rPr>
          <w:rFonts w:ascii="Times New Roman" w:hAnsi="Times New Roman" w:cs="Times New Roman"/>
          <w:b/>
          <w:sz w:val="36"/>
          <w:szCs w:val="36"/>
        </w:rPr>
      </w:pPr>
    </w:p>
    <w:p w:rsidR="00D32476" w:rsidRDefault="00D32476" w:rsidP="00D32476">
      <w:pPr>
        <w:spacing w:after="0" w:line="360" w:lineRule="auto"/>
        <w:jc w:val="center"/>
        <w:rPr>
          <w:rFonts w:ascii="Times New Roman" w:hAnsi="Times New Roman" w:cs="Times New Roman"/>
          <w:b/>
          <w:sz w:val="40"/>
          <w:szCs w:val="40"/>
        </w:rPr>
      </w:pPr>
      <w:r w:rsidRPr="00196C68">
        <w:rPr>
          <w:rFonts w:ascii="Times New Roman" w:hAnsi="Times New Roman" w:cs="Times New Roman"/>
          <w:b/>
          <w:sz w:val="40"/>
          <w:szCs w:val="40"/>
        </w:rPr>
        <w:t>COME DIFENDERSI DAGLI STUDI DI SETTORE</w:t>
      </w:r>
    </w:p>
    <w:p w:rsidR="00DC7EE3" w:rsidRPr="00196C68" w:rsidRDefault="00DC7EE3" w:rsidP="00D32476">
      <w:pPr>
        <w:spacing w:after="0" w:line="360" w:lineRule="auto"/>
        <w:jc w:val="center"/>
        <w:rPr>
          <w:rFonts w:ascii="Times New Roman" w:hAnsi="Times New Roman" w:cs="Times New Roman"/>
          <w:b/>
          <w:sz w:val="40"/>
          <w:szCs w:val="40"/>
        </w:rPr>
      </w:pPr>
    </w:p>
    <w:p w:rsidR="0037687E" w:rsidRPr="00883427" w:rsidRDefault="0037687E" w:rsidP="00F31467">
      <w:pPr>
        <w:spacing w:after="0" w:line="360" w:lineRule="auto"/>
        <w:jc w:val="both"/>
        <w:rPr>
          <w:rFonts w:ascii="Times New Roman" w:hAnsi="Times New Roman" w:cs="Times New Roman"/>
          <w:sz w:val="28"/>
          <w:szCs w:val="28"/>
        </w:rPr>
      </w:pPr>
      <w:r w:rsidRPr="00883427">
        <w:rPr>
          <w:rFonts w:ascii="Times New Roman" w:hAnsi="Times New Roman" w:cs="Times New Roman"/>
          <w:sz w:val="28"/>
          <w:szCs w:val="28"/>
        </w:rPr>
        <w:t>La</w:t>
      </w:r>
      <w:r w:rsidR="00F31467" w:rsidRPr="00883427">
        <w:rPr>
          <w:rFonts w:ascii="Times New Roman" w:hAnsi="Times New Roman" w:cs="Times New Roman"/>
          <w:sz w:val="28"/>
          <w:szCs w:val="28"/>
        </w:rPr>
        <w:t xml:space="preserve"> Corte </w:t>
      </w:r>
      <w:r w:rsidRPr="00883427">
        <w:rPr>
          <w:rFonts w:ascii="Times New Roman" w:hAnsi="Times New Roman" w:cs="Times New Roman"/>
          <w:sz w:val="28"/>
          <w:szCs w:val="28"/>
        </w:rPr>
        <w:t xml:space="preserve">di Cassazione </w:t>
      </w:r>
      <w:r w:rsidR="00F31467" w:rsidRPr="00883427">
        <w:rPr>
          <w:rFonts w:ascii="Times New Roman" w:hAnsi="Times New Roman" w:cs="Times New Roman"/>
          <w:sz w:val="28"/>
          <w:szCs w:val="28"/>
        </w:rPr>
        <w:t>ha affermato, con orientamento consolidato, che i parametri o studi di settore, rappresentando la risultante dell'estrapolazione statistica di una pluralità di dati settoriali acquisiti su campioni di contribuenti e dalle relative dichiarazioni, rivelano valori che, quando eccedono il dichiarato, integrano il presupposto per il legittimo esercizio da parte dell'Ufficio dell'accertamento analitico-induttivo, ex art. 39, comma 1, lett. d, del DPR n. 600 del 1973</w:t>
      </w:r>
      <w:r w:rsidRPr="00883427">
        <w:rPr>
          <w:rFonts w:ascii="Times New Roman" w:hAnsi="Times New Roman" w:cs="Times New Roman"/>
          <w:sz w:val="28"/>
          <w:szCs w:val="28"/>
        </w:rPr>
        <w:t>.</w:t>
      </w:r>
    </w:p>
    <w:p w:rsidR="0037687E" w:rsidRPr="00883427" w:rsidRDefault="0037687E" w:rsidP="00F31467">
      <w:pPr>
        <w:spacing w:after="0" w:line="360" w:lineRule="auto"/>
        <w:jc w:val="both"/>
        <w:rPr>
          <w:rFonts w:ascii="Times New Roman" w:hAnsi="Times New Roman" w:cs="Times New Roman"/>
          <w:b/>
          <w:sz w:val="28"/>
          <w:szCs w:val="28"/>
        </w:rPr>
      </w:pPr>
      <w:r w:rsidRPr="00883427">
        <w:rPr>
          <w:rFonts w:ascii="Times New Roman" w:hAnsi="Times New Roman" w:cs="Times New Roman"/>
          <w:b/>
          <w:sz w:val="28"/>
          <w:szCs w:val="28"/>
        </w:rPr>
        <w:t xml:space="preserve">Lo studio di settore </w:t>
      </w:r>
      <w:r w:rsidR="00F31467" w:rsidRPr="00883427">
        <w:rPr>
          <w:rFonts w:ascii="Times New Roman" w:hAnsi="Times New Roman" w:cs="Times New Roman"/>
          <w:b/>
          <w:sz w:val="28"/>
          <w:szCs w:val="28"/>
        </w:rPr>
        <w:t>deve essere necessariamente svolto in contraddittorio col contribuente, sul quale, nella fase amministrativa e, soprattutto, contenziosa, incombe l'onere di allegare e provare, senza limitazioni di mezzi e di contenuto, la sussistenza delle condizioni che giustificano l'esclusione dell'impresa dall'area dei soggetti cui possono essere applicati gli "standards" o la specifica realtà dell'attività economica nel periodo di tempo in esame, sì da giustificare un reddito inferiore a quello che sarebbe stato normale secondo la procedura di accertamento tributario standardizzato</w:t>
      </w:r>
      <w:r w:rsidRPr="00883427">
        <w:rPr>
          <w:rFonts w:ascii="Times New Roman" w:hAnsi="Times New Roman" w:cs="Times New Roman"/>
          <w:b/>
          <w:sz w:val="28"/>
          <w:szCs w:val="28"/>
        </w:rPr>
        <w:t>.</w:t>
      </w:r>
    </w:p>
    <w:p w:rsidR="00F31467" w:rsidRPr="00883427" w:rsidRDefault="0037687E" w:rsidP="00F31467">
      <w:pPr>
        <w:spacing w:after="0" w:line="360" w:lineRule="auto"/>
        <w:jc w:val="both"/>
        <w:rPr>
          <w:rFonts w:ascii="Times New Roman" w:hAnsi="Times New Roman" w:cs="Times New Roman"/>
          <w:b/>
          <w:sz w:val="28"/>
          <w:szCs w:val="28"/>
        </w:rPr>
      </w:pPr>
      <w:r w:rsidRPr="00883427">
        <w:rPr>
          <w:rFonts w:ascii="Times New Roman" w:hAnsi="Times New Roman" w:cs="Times New Roman"/>
          <w:b/>
          <w:sz w:val="28"/>
          <w:szCs w:val="28"/>
        </w:rPr>
        <w:t>All’ente</w:t>
      </w:r>
      <w:r w:rsidR="00F31467" w:rsidRPr="00883427">
        <w:rPr>
          <w:rFonts w:ascii="Times New Roman" w:hAnsi="Times New Roman" w:cs="Times New Roman"/>
          <w:b/>
          <w:sz w:val="28"/>
          <w:szCs w:val="28"/>
        </w:rPr>
        <w:t xml:space="preserve"> impositore fa carico</w:t>
      </w:r>
      <w:r w:rsidR="006B7222">
        <w:rPr>
          <w:rFonts w:ascii="Times New Roman" w:hAnsi="Times New Roman" w:cs="Times New Roman"/>
          <w:b/>
          <w:sz w:val="28"/>
          <w:szCs w:val="28"/>
        </w:rPr>
        <w:t>, invece,</w:t>
      </w:r>
      <w:r w:rsidR="00F31467" w:rsidRPr="00883427">
        <w:rPr>
          <w:rFonts w:ascii="Times New Roman" w:hAnsi="Times New Roman" w:cs="Times New Roman"/>
          <w:b/>
          <w:sz w:val="28"/>
          <w:szCs w:val="28"/>
        </w:rPr>
        <w:t xml:space="preserve"> dimostrare l'applicabilità dello standard prescelto al caso concreto oggetto di accertamento, con le ragioni per le quali sono state disattese le contestazioni sollevate </w:t>
      </w:r>
      <w:r w:rsidR="00B97C64" w:rsidRPr="00883427">
        <w:rPr>
          <w:rFonts w:ascii="Times New Roman" w:hAnsi="Times New Roman" w:cs="Times New Roman"/>
          <w:b/>
          <w:sz w:val="28"/>
          <w:szCs w:val="28"/>
        </w:rPr>
        <w:t>dal contribuente (S.U</w:t>
      </w:r>
      <w:r w:rsidR="00F31467" w:rsidRPr="00883427">
        <w:rPr>
          <w:rFonts w:ascii="Times New Roman" w:hAnsi="Times New Roman" w:cs="Times New Roman"/>
          <w:b/>
          <w:sz w:val="28"/>
          <w:szCs w:val="28"/>
        </w:rPr>
        <w:t>. n. 26635 del 2009; n. 14288 del 2016; n. 3415 del 2015</w:t>
      </w:r>
      <w:r w:rsidR="00F121C9" w:rsidRPr="00883427">
        <w:rPr>
          <w:rFonts w:ascii="Times New Roman" w:hAnsi="Times New Roman" w:cs="Times New Roman"/>
          <w:b/>
          <w:sz w:val="28"/>
          <w:szCs w:val="28"/>
        </w:rPr>
        <w:t>; n. 12631 del 2017</w:t>
      </w:r>
      <w:r w:rsidR="00F31467" w:rsidRPr="00883427">
        <w:rPr>
          <w:rFonts w:ascii="Times New Roman" w:hAnsi="Times New Roman" w:cs="Times New Roman"/>
          <w:b/>
          <w:sz w:val="28"/>
          <w:szCs w:val="28"/>
        </w:rPr>
        <w:t>).</w:t>
      </w:r>
    </w:p>
    <w:p w:rsidR="00F63189" w:rsidRPr="00665037" w:rsidRDefault="00F31467" w:rsidP="00F31467">
      <w:pPr>
        <w:spacing w:after="0" w:line="360" w:lineRule="auto"/>
        <w:jc w:val="both"/>
        <w:rPr>
          <w:rFonts w:ascii="Times New Roman" w:hAnsi="Times New Roman" w:cs="Times New Roman"/>
          <w:b/>
          <w:sz w:val="28"/>
          <w:szCs w:val="28"/>
        </w:rPr>
      </w:pPr>
      <w:r w:rsidRPr="00883427">
        <w:rPr>
          <w:rFonts w:ascii="Times New Roman" w:hAnsi="Times New Roman" w:cs="Times New Roman"/>
          <w:sz w:val="28"/>
          <w:szCs w:val="28"/>
        </w:rPr>
        <w:t>L'esperimento del contraddittorio col contribuente e la puntuale valutazione delle relative risultanze costituiscono</w:t>
      </w:r>
      <w:r w:rsidR="00F63189" w:rsidRPr="00883427">
        <w:rPr>
          <w:rFonts w:ascii="Times New Roman" w:hAnsi="Times New Roman" w:cs="Times New Roman"/>
          <w:sz w:val="28"/>
          <w:szCs w:val="28"/>
        </w:rPr>
        <w:t>,</w:t>
      </w:r>
      <w:r w:rsidRPr="00883427">
        <w:rPr>
          <w:rFonts w:ascii="Times New Roman" w:hAnsi="Times New Roman" w:cs="Times New Roman"/>
          <w:sz w:val="28"/>
          <w:szCs w:val="28"/>
        </w:rPr>
        <w:t xml:space="preserve"> dunque</w:t>
      </w:r>
      <w:r w:rsidR="00F63189" w:rsidRPr="00883427">
        <w:rPr>
          <w:rFonts w:ascii="Times New Roman" w:hAnsi="Times New Roman" w:cs="Times New Roman"/>
          <w:sz w:val="28"/>
          <w:szCs w:val="28"/>
        </w:rPr>
        <w:t>,</w:t>
      </w:r>
      <w:r w:rsidRPr="00883427">
        <w:rPr>
          <w:rFonts w:ascii="Times New Roman" w:hAnsi="Times New Roman" w:cs="Times New Roman"/>
          <w:sz w:val="28"/>
          <w:szCs w:val="28"/>
        </w:rPr>
        <w:t xml:space="preserve"> elementi essenziali e</w:t>
      </w:r>
      <w:r w:rsidR="00F63189" w:rsidRPr="00883427">
        <w:rPr>
          <w:rFonts w:ascii="Times New Roman" w:hAnsi="Times New Roman" w:cs="Times New Roman"/>
          <w:sz w:val="28"/>
          <w:szCs w:val="28"/>
        </w:rPr>
        <w:t>d</w:t>
      </w:r>
      <w:r w:rsidRPr="00883427">
        <w:rPr>
          <w:rFonts w:ascii="Times New Roman" w:hAnsi="Times New Roman" w:cs="Times New Roman"/>
          <w:sz w:val="28"/>
          <w:szCs w:val="28"/>
        </w:rPr>
        <w:t xml:space="preserve"> imprescindibili della validazione, da parte del giudice, dell'accertamento fiscale basato sugli studi di settore, in quanto l'elaborazione statistica dei parametri, di per sé soggetta alle approssimazioni proprie dello strumento statistico, </w:t>
      </w:r>
      <w:r w:rsidRPr="00665037">
        <w:rPr>
          <w:rFonts w:ascii="Times New Roman" w:hAnsi="Times New Roman" w:cs="Times New Roman"/>
          <w:b/>
          <w:sz w:val="28"/>
          <w:szCs w:val="28"/>
        </w:rPr>
        <w:t>deve essere adeguata alla realtà reddituale del</w:t>
      </w:r>
      <w:r w:rsidRPr="00883427">
        <w:rPr>
          <w:rFonts w:ascii="Times New Roman" w:hAnsi="Times New Roman" w:cs="Times New Roman"/>
          <w:sz w:val="28"/>
          <w:szCs w:val="28"/>
        </w:rPr>
        <w:t xml:space="preserve"> </w:t>
      </w:r>
      <w:r w:rsidRPr="00665037">
        <w:rPr>
          <w:rFonts w:ascii="Times New Roman" w:hAnsi="Times New Roman" w:cs="Times New Roman"/>
          <w:b/>
          <w:sz w:val="28"/>
          <w:szCs w:val="28"/>
        </w:rPr>
        <w:lastRenderedPageBreak/>
        <w:t>singolo contribuente, solo così potendo emergere gli elementi idonei a commisurare la presunzione alla concreta realtà economica dell'impresa</w:t>
      </w:r>
      <w:r w:rsidR="00F63189" w:rsidRPr="00665037">
        <w:rPr>
          <w:rFonts w:ascii="Times New Roman" w:hAnsi="Times New Roman" w:cs="Times New Roman"/>
          <w:b/>
          <w:sz w:val="28"/>
          <w:szCs w:val="28"/>
        </w:rPr>
        <w:t>.</w:t>
      </w:r>
    </w:p>
    <w:p w:rsidR="00F31467" w:rsidRPr="00883427" w:rsidRDefault="00F63189" w:rsidP="00F31467">
      <w:pPr>
        <w:spacing w:after="0" w:line="360" w:lineRule="auto"/>
        <w:jc w:val="both"/>
        <w:rPr>
          <w:rFonts w:ascii="Times New Roman" w:hAnsi="Times New Roman" w:cs="Times New Roman"/>
          <w:b/>
          <w:sz w:val="28"/>
          <w:szCs w:val="28"/>
        </w:rPr>
      </w:pPr>
      <w:r w:rsidRPr="00883427">
        <w:rPr>
          <w:rFonts w:ascii="Times New Roman" w:hAnsi="Times New Roman" w:cs="Times New Roman"/>
          <w:b/>
          <w:sz w:val="28"/>
          <w:szCs w:val="28"/>
        </w:rPr>
        <w:t>C</w:t>
      </w:r>
      <w:r w:rsidR="00F31467" w:rsidRPr="00883427">
        <w:rPr>
          <w:rFonts w:ascii="Times New Roman" w:hAnsi="Times New Roman" w:cs="Times New Roman"/>
          <w:b/>
          <w:sz w:val="28"/>
          <w:szCs w:val="28"/>
        </w:rPr>
        <w:t xml:space="preserve">on la conseguenza che la motivazione dell'atto di accertamento non può esaurirsi nel mero rilievo dello scostamento </w:t>
      </w:r>
      <w:r w:rsidR="00665037">
        <w:rPr>
          <w:rFonts w:ascii="Times New Roman" w:hAnsi="Times New Roman" w:cs="Times New Roman"/>
          <w:b/>
          <w:sz w:val="28"/>
          <w:szCs w:val="28"/>
        </w:rPr>
        <w:t>dagli studi di settore</w:t>
      </w:r>
      <w:r w:rsidR="00F31467" w:rsidRPr="00883427">
        <w:rPr>
          <w:rFonts w:ascii="Times New Roman" w:hAnsi="Times New Roman" w:cs="Times New Roman"/>
          <w:b/>
          <w:sz w:val="28"/>
          <w:szCs w:val="28"/>
        </w:rPr>
        <w:t xml:space="preserve">, ma deve essere integrata, anche sotto il profilo probatorio, con le ragioni per le quali sono state disattese le contestazioni sollevate dal contribuente in sede di contraddittorio, soltanto così potendo emergere la gravità, precisione e concordanza attribuibile alla presunzione basata </w:t>
      </w:r>
      <w:r w:rsidR="004C7C33">
        <w:rPr>
          <w:rFonts w:ascii="Times New Roman" w:hAnsi="Times New Roman" w:cs="Times New Roman"/>
          <w:b/>
          <w:sz w:val="28"/>
          <w:szCs w:val="28"/>
        </w:rPr>
        <w:t>sugli studi di settore</w:t>
      </w:r>
      <w:r w:rsidR="00F31467" w:rsidRPr="00883427">
        <w:rPr>
          <w:rFonts w:ascii="Times New Roman" w:hAnsi="Times New Roman" w:cs="Times New Roman"/>
          <w:b/>
          <w:sz w:val="28"/>
          <w:szCs w:val="28"/>
        </w:rPr>
        <w:t xml:space="preserve"> e la giustificabilità di un onere della prova contraria a carico del contribuente (Cass. n. 27822 del 2013).</w:t>
      </w:r>
    </w:p>
    <w:p w:rsidR="00F31467" w:rsidRPr="00883427" w:rsidRDefault="00C84033" w:rsidP="00F31467">
      <w:pPr>
        <w:spacing w:after="0" w:line="360" w:lineRule="auto"/>
        <w:jc w:val="both"/>
        <w:rPr>
          <w:rFonts w:ascii="Times New Roman" w:hAnsi="Times New Roman" w:cs="Times New Roman"/>
          <w:sz w:val="28"/>
          <w:szCs w:val="28"/>
        </w:rPr>
      </w:pPr>
      <w:r w:rsidRPr="00883427">
        <w:rPr>
          <w:rFonts w:ascii="Times New Roman" w:hAnsi="Times New Roman" w:cs="Times New Roman"/>
          <w:sz w:val="28"/>
          <w:szCs w:val="28"/>
        </w:rPr>
        <w:t xml:space="preserve">La giurisprudenza di merito, confermata dalla Corte di Cassazione con i principi sopra esposti, </w:t>
      </w:r>
      <w:r w:rsidR="00F31467" w:rsidRPr="00883427">
        <w:rPr>
          <w:rFonts w:ascii="Times New Roman" w:hAnsi="Times New Roman" w:cs="Times New Roman"/>
          <w:sz w:val="28"/>
          <w:szCs w:val="28"/>
        </w:rPr>
        <w:t xml:space="preserve">ha </w:t>
      </w:r>
      <w:r w:rsidR="00FE09DF" w:rsidRPr="00883427">
        <w:rPr>
          <w:rFonts w:ascii="Times New Roman" w:hAnsi="Times New Roman" w:cs="Times New Roman"/>
          <w:sz w:val="28"/>
          <w:szCs w:val="28"/>
        </w:rPr>
        <w:t xml:space="preserve">così </w:t>
      </w:r>
      <w:r w:rsidR="00F31467" w:rsidRPr="00883427">
        <w:rPr>
          <w:rFonts w:ascii="Times New Roman" w:hAnsi="Times New Roman" w:cs="Times New Roman"/>
          <w:sz w:val="28"/>
          <w:szCs w:val="28"/>
        </w:rPr>
        <w:t>ritenuto direttamente riconducibile all'accertamento presuntivo basato sugli studi di settore anche la determinazione della percentuale di ricarico, senza valutare le giustificazioni addotte dalla ricorrente e le circostanze ed elementi di fatto proposti per dimostrare l'eventuale allontanamento della sua attività dal modello normale, incorrendo così in un evidente vizio logico e</w:t>
      </w:r>
      <w:r w:rsidR="0027664F" w:rsidRPr="00883427">
        <w:rPr>
          <w:rFonts w:ascii="Times New Roman" w:hAnsi="Times New Roman" w:cs="Times New Roman"/>
          <w:sz w:val="28"/>
          <w:szCs w:val="28"/>
        </w:rPr>
        <w:t>d</w:t>
      </w:r>
      <w:r w:rsidR="00F31467" w:rsidRPr="00883427">
        <w:rPr>
          <w:rFonts w:ascii="Times New Roman" w:hAnsi="Times New Roman" w:cs="Times New Roman"/>
          <w:sz w:val="28"/>
          <w:szCs w:val="28"/>
        </w:rPr>
        <w:t xml:space="preserve"> in un sostanziale travisamento degli oneri probatori gravanti </w:t>
      </w:r>
      <w:r w:rsidR="00F31467" w:rsidRPr="00883427">
        <w:rPr>
          <w:rFonts w:ascii="Times New Roman" w:hAnsi="Times New Roman" w:cs="Times New Roman"/>
          <w:iCs/>
          <w:sz w:val="28"/>
          <w:szCs w:val="28"/>
        </w:rPr>
        <w:t>ex lege</w:t>
      </w:r>
      <w:r w:rsidR="00F31467" w:rsidRPr="00883427">
        <w:rPr>
          <w:rFonts w:ascii="Times New Roman" w:hAnsi="Times New Roman" w:cs="Times New Roman"/>
          <w:i/>
          <w:iCs/>
          <w:sz w:val="28"/>
          <w:szCs w:val="28"/>
        </w:rPr>
        <w:t xml:space="preserve"> </w:t>
      </w:r>
      <w:r w:rsidR="00F31467" w:rsidRPr="00883427">
        <w:rPr>
          <w:rFonts w:ascii="Times New Roman" w:hAnsi="Times New Roman" w:cs="Times New Roman"/>
          <w:sz w:val="28"/>
          <w:szCs w:val="28"/>
        </w:rPr>
        <w:t>sulle parti.</w:t>
      </w:r>
    </w:p>
    <w:p w:rsidR="00D32476" w:rsidRPr="00883427" w:rsidRDefault="00D32476" w:rsidP="00D32476">
      <w:pPr>
        <w:pStyle w:val="Style6"/>
        <w:kinsoku w:val="0"/>
        <w:autoSpaceDE/>
        <w:autoSpaceDN/>
        <w:spacing w:before="0"/>
        <w:ind w:left="0" w:right="215"/>
        <w:rPr>
          <w:rStyle w:val="CharacterStyle4"/>
          <w:rFonts w:ascii="Times New Roman" w:hAnsi="Times New Roman" w:cs="Times New Roman"/>
          <w:spacing w:val="1"/>
          <w:sz w:val="28"/>
          <w:szCs w:val="28"/>
        </w:rPr>
      </w:pPr>
      <w:r w:rsidRPr="00883427">
        <w:rPr>
          <w:rStyle w:val="CharacterStyle4"/>
          <w:rFonts w:ascii="Times New Roman" w:hAnsi="Times New Roman" w:cs="Times New Roman"/>
          <w:spacing w:val="3"/>
          <w:sz w:val="28"/>
          <w:szCs w:val="28"/>
        </w:rPr>
        <w:t xml:space="preserve">Ciò in quanto l'accertamento basato </w:t>
      </w:r>
      <w:r w:rsidR="00FE09DF" w:rsidRPr="00883427">
        <w:rPr>
          <w:rStyle w:val="CharacterStyle4"/>
          <w:rFonts w:ascii="Times New Roman" w:hAnsi="Times New Roman" w:cs="Times New Roman"/>
          <w:spacing w:val="3"/>
          <w:sz w:val="28"/>
          <w:szCs w:val="28"/>
        </w:rPr>
        <w:t xml:space="preserve">sugli studi di settore </w:t>
      </w:r>
      <w:r w:rsidRPr="00883427">
        <w:rPr>
          <w:rStyle w:val="CharacterStyle4"/>
          <w:rFonts w:ascii="Times New Roman" w:hAnsi="Times New Roman" w:cs="Times New Roman"/>
          <w:spacing w:val="-1"/>
          <w:sz w:val="28"/>
          <w:szCs w:val="28"/>
        </w:rPr>
        <w:t xml:space="preserve">non può esaurirsi nel mero rilievo dello scostamento del reddito </w:t>
      </w:r>
      <w:r w:rsidRPr="00883427">
        <w:rPr>
          <w:rStyle w:val="CharacterStyle4"/>
          <w:rFonts w:ascii="Times New Roman" w:hAnsi="Times New Roman" w:cs="Times New Roman"/>
          <w:spacing w:val="7"/>
          <w:sz w:val="28"/>
          <w:szCs w:val="28"/>
        </w:rPr>
        <w:t>dichiarato rispetto ad essi, ma deve essere integrat</w:t>
      </w:r>
      <w:r w:rsidR="00FE09DF" w:rsidRPr="00883427">
        <w:rPr>
          <w:rStyle w:val="CharacterStyle4"/>
          <w:rFonts w:ascii="Times New Roman" w:hAnsi="Times New Roman" w:cs="Times New Roman"/>
          <w:spacing w:val="7"/>
          <w:sz w:val="28"/>
          <w:szCs w:val="28"/>
        </w:rPr>
        <w:t>o</w:t>
      </w:r>
      <w:r w:rsidRPr="00883427">
        <w:rPr>
          <w:rStyle w:val="CharacterStyle4"/>
          <w:rFonts w:ascii="Times New Roman" w:hAnsi="Times New Roman" w:cs="Times New Roman"/>
          <w:spacing w:val="7"/>
          <w:sz w:val="28"/>
          <w:szCs w:val="28"/>
        </w:rPr>
        <w:t xml:space="preserve"> (anche </w:t>
      </w:r>
      <w:r w:rsidRPr="00883427">
        <w:rPr>
          <w:rStyle w:val="CharacterStyle4"/>
          <w:rFonts w:ascii="Times New Roman" w:hAnsi="Times New Roman" w:cs="Times New Roman"/>
          <w:spacing w:val="1"/>
          <w:sz w:val="28"/>
          <w:szCs w:val="28"/>
        </w:rPr>
        <w:t xml:space="preserve">sotto il profilo probatorio) con le ragioni per le quali sono state </w:t>
      </w:r>
      <w:r w:rsidRPr="00883427">
        <w:rPr>
          <w:rStyle w:val="CharacterStyle4"/>
          <w:rFonts w:ascii="Times New Roman" w:hAnsi="Times New Roman" w:cs="Times New Roman"/>
          <w:spacing w:val="3"/>
          <w:sz w:val="28"/>
          <w:szCs w:val="28"/>
        </w:rPr>
        <w:t xml:space="preserve">disattese le contestazioni sollevate dal contribuente in sede di </w:t>
      </w:r>
      <w:r w:rsidRPr="00883427">
        <w:rPr>
          <w:rStyle w:val="CharacterStyle4"/>
          <w:rFonts w:ascii="Times New Roman" w:hAnsi="Times New Roman" w:cs="Times New Roman"/>
          <w:sz w:val="28"/>
          <w:szCs w:val="28"/>
        </w:rPr>
        <w:t xml:space="preserve">contraddittorio, solo così emergendo la gravità, precisione e </w:t>
      </w:r>
      <w:r w:rsidRPr="00883427">
        <w:rPr>
          <w:rStyle w:val="CharacterStyle4"/>
          <w:rFonts w:ascii="Times New Roman" w:hAnsi="Times New Roman" w:cs="Times New Roman"/>
          <w:spacing w:val="6"/>
          <w:sz w:val="28"/>
          <w:szCs w:val="28"/>
        </w:rPr>
        <w:t xml:space="preserve">concordanza attribuibile alla presunzione basata sui suddetti </w:t>
      </w:r>
      <w:r w:rsidR="00FE09DF" w:rsidRPr="00883427">
        <w:rPr>
          <w:rStyle w:val="CharacterStyle4"/>
          <w:rFonts w:ascii="Times New Roman" w:hAnsi="Times New Roman" w:cs="Times New Roman"/>
          <w:spacing w:val="3"/>
          <w:sz w:val="28"/>
          <w:szCs w:val="28"/>
        </w:rPr>
        <w:t>studi di settore</w:t>
      </w:r>
      <w:r w:rsidRPr="00883427">
        <w:rPr>
          <w:rStyle w:val="CharacterStyle4"/>
          <w:rFonts w:ascii="Times New Roman" w:hAnsi="Times New Roman" w:cs="Times New Roman"/>
          <w:spacing w:val="3"/>
          <w:sz w:val="28"/>
          <w:szCs w:val="28"/>
        </w:rPr>
        <w:t xml:space="preserve"> e la giustificabilità di un onere della prova contraria </w:t>
      </w:r>
      <w:r w:rsidRPr="00883427">
        <w:rPr>
          <w:rStyle w:val="CharacterStyle4"/>
          <w:rFonts w:ascii="Times New Roman" w:hAnsi="Times New Roman" w:cs="Times New Roman"/>
          <w:spacing w:val="4"/>
          <w:sz w:val="28"/>
          <w:szCs w:val="28"/>
        </w:rPr>
        <w:t xml:space="preserve">(ma senza alcuna limitazione di mezzi e di contenuto) a carico </w:t>
      </w:r>
      <w:r w:rsidRPr="00883427">
        <w:rPr>
          <w:rStyle w:val="CharacterStyle4"/>
          <w:rFonts w:ascii="Times New Roman" w:hAnsi="Times New Roman" w:cs="Times New Roman"/>
          <w:spacing w:val="1"/>
          <w:sz w:val="28"/>
          <w:szCs w:val="28"/>
        </w:rPr>
        <w:t xml:space="preserve">del contribuente </w:t>
      </w:r>
      <w:r w:rsidRPr="001A11FA">
        <w:rPr>
          <w:rStyle w:val="CharacterStyle4"/>
          <w:rFonts w:ascii="Times New Roman" w:hAnsi="Times New Roman" w:cs="Times New Roman"/>
          <w:b/>
          <w:spacing w:val="1"/>
          <w:sz w:val="28"/>
          <w:szCs w:val="28"/>
        </w:rPr>
        <w:t>(Cass. n. 15633 del 2014; n. 27822/2013</w:t>
      </w:r>
      <w:r w:rsidR="00FE09DF" w:rsidRPr="001A11FA">
        <w:rPr>
          <w:rStyle w:val="CharacterStyle4"/>
          <w:rFonts w:ascii="Times New Roman" w:hAnsi="Times New Roman" w:cs="Times New Roman"/>
          <w:b/>
          <w:spacing w:val="1"/>
          <w:sz w:val="28"/>
          <w:szCs w:val="28"/>
        </w:rPr>
        <w:t>; n. 25929/2017</w:t>
      </w:r>
      <w:r w:rsidRPr="001A11FA">
        <w:rPr>
          <w:rStyle w:val="CharacterStyle4"/>
          <w:rFonts w:ascii="Times New Roman" w:hAnsi="Times New Roman" w:cs="Times New Roman"/>
          <w:b/>
          <w:spacing w:val="1"/>
          <w:sz w:val="28"/>
          <w:szCs w:val="28"/>
        </w:rPr>
        <w:t>).</w:t>
      </w:r>
    </w:p>
    <w:p w:rsidR="00D32476" w:rsidRPr="00883427" w:rsidRDefault="00FE09DF" w:rsidP="00D32476">
      <w:pPr>
        <w:pStyle w:val="Style6"/>
        <w:kinsoku w:val="0"/>
        <w:autoSpaceDE/>
        <w:autoSpaceDN/>
        <w:spacing w:before="0"/>
        <w:ind w:left="0" w:right="215"/>
        <w:rPr>
          <w:rStyle w:val="CharacterStyle4"/>
          <w:rFonts w:ascii="Times New Roman" w:hAnsi="Times New Roman" w:cs="Times New Roman"/>
          <w:sz w:val="28"/>
          <w:szCs w:val="28"/>
        </w:rPr>
      </w:pPr>
      <w:r w:rsidRPr="00883427">
        <w:rPr>
          <w:rStyle w:val="CharacterStyle4"/>
          <w:rFonts w:ascii="Times New Roman" w:hAnsi="Times New Roman" w:cs="Times New Roman"/>
          <w:spacing w:val="7"/>
          <w:sz w:val="28"/>
          <w:szCs w:val="28"/>
        </w:rPr>
        <w:t>La giurisprudenza di merito</w:t>
      </w:r>
      <w:r w:rsidRPr="00E73572">
        <w:rPr>
          <w:rStyle w:val="CharacterStyle4"/>
          <w:rFonts w:ascii="Times New Roman" w:hAnsi="Times New Roman" w:cs="Times New Roman"/>
          <w:spacing w:val="7"/>
          <w:sz w:val="28"/>
          <w:szCs w:val="28"/>
        </w:rPr>
        <w:t xml:space="preserve">, </w:t>
      </w:r>
      <w:r w:rsidRPr="00E73572">
        <w:rPr>
          <w:rFonts w:ascii="Times New Roman" w:hAnsi="Times New Roman" w:cs="Times New Roman"/>
          <w:sz w:val="28"/>
          <w:szCs w:val="28"/>
        </w:rPr>
        <w:t xml:space="preserve">confermata dalla Corte di Cassazione con i principi sopra esposti, </w:t>
      </w:r>
      <w:r w:rsidRPr="00E73572">
        <w:rPr>
          <w:rStyle w:val="CharacterStyle4"/>
          <w:rFonts w:ascii="Times New Roman" w:hAnsi="Times New Roman" w:cs="Times New Roman"/>
          <w:spacing w:val="7"/>
          <w:sz w:val="28"/>
          <w:szCs w:val="28"/>
        </w:rPr>
        <w:t xml:space="preserve"> </w:t>
      </w:r>
      <w:r w:rsidR="00D32476" w:rsidRPr="00E73572">
        <w:rPr>
          <w:rStyle w:val="CharacterStyle4"/>
          <w:rFonts w:ascii="Times New Roman" w:hAnsi="Times New Roman" w:cs="Times New Roman"/>
          <w:spacing w:val="7"/>
          <w:sz w:val="28"/>
          <w:szCs w:val="28"/>
        </w:rPr>
        <w:t>ha</w:t>
      </w:r>
      <w:r w:rsidRPr="00E73572">
        <w:rPr>
          <w:rStyle w:val="CharacterStyle4"/>
          <w:rFonts w:ascii="Times New Roman" w:hAnsi="Times New Roman" w:cs="Times New Roman"/>
          <w:spacing w:val="7"/>
          <w:sz w:val="28"/>
          <w:szCs w:val="28"/>
        </w:rPr>
        <w:t xml:space="preserve"> così</w:t>
      </w:r>
      <w:r w:rsidR="00D32476" w:rsidRPr="00E73572">
        <w:rPr>
          <w:rStyle w:val="CharacterStyle4"/>
          <w:rFonts w:ascii="Times New Roman" w:hAnsi="Times New Roman" w:cs="Times New Roman"/>
          <w:spacing w:val="7"/>
          <w:sz w:val="28"/>
          <w:szCs w:val="28"/>
        </w:rPr>
        <w:t xml:space="preserve"> congruamente motivato, </w:t>
      </w:r>
      <w:r w:rsidR="00D32476" w:rsidRPr="00E73572">
        <w:rPr>
          <w:rStyle w:val="CharacterStyle4"/>
          <w:rFonts w:ascii="Times New Roman" w:hAnsi="Times New Roman" w:cs="Times New Roman"/>
          <w:spacing w:val="3"/>
          <w:sz w:val="28"/>
          <w:szCs w:val="28"/>
        </w:rPr>
        <w:t>dando rilievo ad una serie di elementi forniti dal</w:t>
      </w:r>
      <w:r w:rsidR="00D32476" w:rsidRPr="00883427">
        <w:rPr>
          <w:rStyle w:val="CharacterStyle4"/>
          <w:rFonts w:ascii="Times New Roman" w:hAnsi="Times New Roman" w:cs="Times New Roman"/>
          <w:spacing w:val="3"/>
          <w:sz w:val="28"/>
          <w:szCs w:val="28"/>
        </w:rPr>
        <w:t xml:space="preserve"> contribuente, </w:t>
      </w:r>
      <w:r w:rsidR="00D32476" w:rsidRPr="00883427">
        <w:rPr>
          <w:rStyle w:val="CharacterStyle4"/>
          <w:rFonts w:ascii="Times New Roman" w:hAnsi="Times New Roman" w:cs="Times New Roman"/>
          <w:spacing w:val="5"/>
          <w:sz w:val="28"/>
          <w:szCs w:val="28"/>
        </w:rPr>
        <w:t xml:space="preserve">idonei a superare le presunzioni dell'accertamento basato </w:t>
      </w:r>
      <w:r w:rsidR="00C03616">
        <w:rPr>
          <w:rStyle w:val="CharacterStyle4"/>
          <w:rFonts w:ascii="Times New Roman" w:hAnsi="Times New Roman" w:cs="Times New Roman"/>
          <w:spacing w:val="5"/>
          <w:sz w:val="28"/>
          <w:szCs w:val="28"/>
        </w:rPr>
        <w:t>sugli studi di settore</w:t>
      </w:r>
      <w:r w:rsidR="00D32476" w:rsidRPr="00883427">
        <w:rPr>
          <w:rStyle w:val="CharacterStyle4"/>
          <w:rFonts w:ascii="Times New Roman" w:hAnsi="Times New Roman" w:cs="Times New Roman"/>
          <w:spacing w:val="2"/>
          <w:sz w:val="28"/>
          <w:szCs w:val="28"/>
        </w:rPr>
        <w:t>, quali:</w:t>
      </w:r>
      <w:r w:rsidR="00884782" w:rsidRPr="00883427">
        <w:rPr>
          <w:rStyle w:val="CharacterStyle4"/>
          <w:rFonts w:ascii="Times New Roman" w:hAnsi="Times New Roman" w:cs="Times New Roman"/>
          <w:spacing w:val="2"/>
          <w:sz w:val="28"/>
          <w:szCs w:val="28"/>
        </w:rPr>
        <w:t xml:space="preserve"> </w:t>
      </w:r>
      <w:r w:rsidR="00D32476" w:rsidRPr="00883427">
        <w:rPr>
          <w:rStyle w:val="CharacterStyle4"/>
          <w:rFonts w:ascii="Times New Roman" w:hAnsi="Times New Roman" w:cs="Times New Roman"/>
          <w:spacing w:val="2"/>
          <w:sz w:val="28"/>
          <w:szCs w:val="28"/>
        </w:rPr>
        <w:t xml:space="preserve">l'assenza di irregolarità contabili per quanto </w:t>
      </w:r>
      <w:r w:rsidR="00D32476" w:rsidRPr="00883427">
        <w:rPr>
          <w:rStyle w:val="CharacterStyle4"/>
          <w:rFonts w:ascii="Times New Roman" w:hAnsi="Times New Roman" w:cs="Times New Roman"/>
          <w:spacing w:val="10"/>
          <w:sz w:val="28"/>
          <w:szCs w:val="28"/>
        </w:rPr>
        <w:t xml:space="preserve">attiene alla fatturazione dell'attività espletata; il contesto </w:t>
      </w:r>
      <w:r w:rsidR="00D32476" w:rsidRPr="00883427">
        <w:rPr>
          <w:rStyle w:val="CharacterStyle4"/>
          <w:rFonts w:ascii="Times New Roman" w:hAnsi="Times New Roman" w:cs="Times New Roman"/>
          <w:spacing w:val="11"/>
          <w:sz w:val="28"/>
          <w:szCs w:val="28"/>
        </w:rPr>
        <w:lastRenderedPageBreak/>
        <w:t>economico-sociale degradato, con conseguente</w:t>
      </w:r>
      <w:r w:rsidR="00884782" w:rsidRPr="00883427">
        <w:rPr>
          <w:rStyle w:val="CharacterStyle4"/>
          <w:rFonts w:ascii="Times New Roman" w:hAnsi="Times New Roman" w:cs="Times New Roman"/>
          <w:spacing w:val="11"/>
          <w:sz w:val="28"/>
          <w:szCs w:val="28"/>
        </w:rPr>
        <w:t xml:space="preserve"> ridotta</w:t>
      </w:r>
      <w:r w:rsidR="00D32476" w:rsidRPr="00883427">
        <w:rPr>
          <w:rStyle w:val="CharacterStyle4"/>
          <w:rFonts w:ascii="Times New Roman" w:hAnsi="Times New Roman" w:cs="Times New Roman"/>
          <w:spacing w:val="11"/>
          <w:sz w:val="28"/>
          <w:szCs w:val="28"/>
        </w:rPr>
        <w:t xml:space="preserve"> capacità di </w:t>
      </w:r>
      <w:r w:rsidR="00D32476" w:rsidRPr="00883427">
        <w:rPr>
          <w:rStyle w:val="CharacterStyle4"/>
          <w:rFonts w:ascii="Times New Roman" w:hAnsi="Times New Roman" w:cs="Times New Roman"/>
          <w:spacing w:val="2"/>
          <w:sz w:val="28"/>
          <w:szCs w:val="28"/>
        </w:rPr>
        <w:t>guadagno compatibil</w:t>
      </w:r>
      <w:r w:rsidR="00884782" w:rsidRPr="00883427">
        <w:rPr>
          <w:rStyle w:val="CharacterStyle4"/>
          <w:rFonts w:ascii="Times New Roman" w:hAnsi="Times New Roman" w:cs="Times New Roman"/>
          <w:spacing w:val="2"/>
          <w:sz w:val="28"/>
          <w:szCs w:val="28"/>
        </w:rPr>
        <w:t>e</w:t>
      </w:r>
      <w:r w:rsidR="00D32476" w:rsidRPr="00883427">
        <w:rPr>
          <w:rStyle w:val="CharacterStyle4"/>
          <w:rFonts w:ascii="Times New Roman" w:hAnsi="Times New Roman" w:cs="Times New Roman"/>
          <w:spacing w:val="2"/>
          <w:sz w:val="28"/>
          <w:szCs w:val="28"/>
        </w:rPr>
        <w:t xml:space="preserve"> con il reddito dichiarato; la clientela con </w:t>
      </w:r>
      <w:r w:rsidR="00D32476" w:rsidRPr="00883427">
        <w:rPr>
          <w:rStyle w:val="CharacterStyle4"/>
          <w:rFonts w:ascii="Times New Roman" w:hAnsi="Times New Roman" w:cs="Times New Roman"/>
          <w:spacing w:val="3"/>
          <w:sz w:val="28"/>
          <w:szCs w:val="28"/>
        </w:rPr>
        <w:t xml:space="preserve">scarse capacità reddituali; la mancanza di indizi di evasione </w:t>
      </w:r>
      <w:r w:rsidR="00D32476" w:rsidRPr="00883427">
        <w:rPr>
          <w:rStyle w:val="CharacterStyle4"/>
          <w:rFonts w:ascii="Times New Roman" w:hAnsi="Times New Roman" w:cs="Times New Roman"/>
          <w:sz w:val="28"/>
          <w:szCs w:val="28"/>
        </w:rPr>
        <w:t>fiscale non enunciati nella parte motiva dell'accertamento.</w:t>
      </w:r>
    </w:p>
    <w:p w:rsidR="00884782" w:rsidRPr="00883427" w:rsidRDefault="00884782" w:rsidP="00D32476">
      <w:pPr>
        <w:pStyle w:val="Style6"/>
        <w:kinsoku w:val="0"/>
        <w:autoSpaceDE/>
        <w:autoSpaceDN/>
        <w:spacing w:before="0"/>
        <w:ind w:left="0" w:right="215"/>
        <w:rPr>
          <w:rStyle w:val="CharacterStyle4"/>
          <w:rFonts w:ascii="Times New Roman" w:hAnsi="Times New Roman" w:cs="Times New Roman"/>
          <w:b/>
          <w:sz w:val="28"/>
          <w:szCs w:val="28"/>
        </w:rPr>
      </w:pPr>
      <w:r w:rsidRPr="00883427">
        <w:rPr>
          <w:rStyle w:val="CharacterStyle4"/>
          <w:rFonts w:ascii="Times New Roman" w:hAnsi="Times New Roman" w:cs="Times New Roman"/>
          <w:b/>
          <w:sz w:val="28"/>
          <w:szCs w:val="28"/>
        </w:rPr>
        <w:t>I contribuenti possono contestare gli studi di settore citando la suddetta giurisprudenza della Corte di Cassazione.</w:t>
      </w:r>
    </w:p>
    <w:p w:rsidR="00F31467" w:rsidRPr="00883427" w:rsidRDefault="00F31467" w:rsidP="00F31467">
      <w:pPr>
        <w:rPr>
          <w:rFonts w:ascii="Times New Roman" w:hAnsi="Times New Roman" w:cs="Times New Roman"/>
          <w:b/>
          <w:sz w:val="28"/>
          <w:szCs w:val="28"/>
        </w:rPr>
      </w:pPr>
      <w:r w:rsidRPr="00883427">
        <w:rPr>
          <w:rFonts w:ascii="Times New Roman" w:hAnsi="Times New Roman" w:cs="Times New Roman"/>
          <w:b/>
          <w:sz w:val="28"/>
          <w:szCs w:val="28"/>
        </w:rPr>
        <w:t xml:space="preserve">Lecce,  </w:t>
      </w:r>
      <w:r w:rsidR="00884782" w:rsidRPr="00883427">
        <w:rPr>
          <w:rFonts w:ascii="Times New Roman" w:hAnsi="Times New Roman" w:cs="Times New Roman"/>
          <w:b/>
          <w:sz w:val="28"/>
          <w:szCs w:val="28"/>
        </w:rPr>
        <w:t>25 novembre 2017</w:t>
      </w:r>
      <w:r w:rsidRPr="00883427">
        <w:rPr>
          <w:rFonts w:ascii="Times New Roman" w:hAnsi="Times New Roman" w:cs="Times New Roman"/>
          <w:b/>
          <w:sz w:val="28"/>
          <w:szCs w:val="28"/>
        </w:rPr>
        <w:t xml:space="preserve">    </w:t>
      </w:r>
    </w:p>
    <w:p w:rsidR="00025830" w:rsidRPr="00883427" w:rsidRDefault="00025830">
      <w:pPr>
        <w:rPr>
          <w:rFonts w:ascii="Times New Roman" w:hAnsi="Times New Roman" w:cs="Times New Roman"/>
        </w:rPr>
      </w:pPr>
    </w:p>
    <w:p w:rsidR="00F31467" w:rsidRPr="00883427" w:rsidRDefault="00F31467" w:rsidP="00F31467">
      <w:pPr>
        <w:jc w:val="center"/>
        <w:rPr>
          <w:rFonts w:ascii="Times New Roman" w:hAnsi="Times New Roman" w:cs="Times New Roman"/>
          <w:b/>
          <w:bCs/>
        </w:rPr>
      </w:pPr>
      <w:r w:rsidRPr="00883427">
        <w:rPr>
          <w:rFonts w:ascii="Times New Roman" w:hAnsi="Times New Roman" w:cs="Times New Roman"/>
          <w:b/>
          <w:bCs/>
        </w:rPr>
        <w:t>AVV. MAURIZIO VILLANI</w:t>
      </w:r>
    </w:p>
    <w:p w:rsidR="00F31467" w:rsidRPr="00883427" w:rsidRDefault="00F31467" w:rsidP="00F31467">
      <w:pPr>
        <w:jc w:val="center"/>
        <w:rPr>
          <w:rFonts w:ascii="Times New Roman" w:hAnsi="Times New Roman" w:cs="Times New Roman"/>
          <w:b/>
          <w:bCs/>
        </w:rPr>
      </w:pPr>
      <w:r w:rsidRPr="00883427">
        <w:rPr>
          <w:rFonts w:ascii="Times New Roman" w:hAnsi="Times New Roman" w:cs="Times New Roman"/>
          <w:b/>
          <w:bCs/>
        </w:rPr>
        <w:t>Avvocato Tributarista in Lecce</w:t>
      </w:r>
    </w:p>
    <w:p w:rsidR="00F31467" w:rsidRPr="00883427" w:rsidRDefault="00F31467" w:rsidP="00F31467">
      <w:pPr>
        <w:jc w:val="center"/>
        <w:rPr>
          <w:rFonts w:ascii="Times New Roman" w:hAnsi="Times New Roman" w:cs="Times New Roman"/>
          <w:b/>
        </w:rPr>
      </w:pPr>
      <w:r w:rsidRPr="00883427">
        <w:rPr>
          <w:rFonts w:ascii="Times New Roman" w:hAnsi="Times New Roman" w:cs="Times New Roman"/>
          <w:b/>
        </w:rPr>
        <w:t>Patrocinante in Cassazione</w:t>
      </w:r>
    </w:p>
    <w:p w:rsidR="00F31467" w:rsidRPr="00883427" w:rsidRDefault="00AE5248" w:rsidP="00F31467">
      <w:pPr>
        <w:jc w:val="center"/>
        <w:rPr>
          <w:rFonts w:ascii="Times New Roman" w:hAnsi="Times New Roman" w:cs="Times New Roman"/>
          <w:b/>
          <w:bCs/>
        </w:rPr>
      </w:pPr>
      <w:hyperlink r:id="rId6" w:history="1">
        <w:r w:rsidR="00F31467" w:rsidRPr="00883427">
          <w:rPr>
            <w:rStyle w:val="Collegamentoipertestuale"/>
            <w:rFonts w:ascii="Times New Roman" w:hAnsi="Times New Roman" w:cs="Times New Roman"/>
          </w:rPr>
          <w:t>www.studiotributariovillani.it</w:t>
        </w:r>
      </w:hyperlink>
      <w:r w:rsidR="00F31467" w:rsidRPr="00883427">
        <w:rPr>
          <w:rFonts w:ascii="Times New Roman" w:hAnsi="Times New Roman" w:cs="Times New Roman"/>
          <w:b/>
          <w:bCs/>
        </w:rPr>
        <w:t xml:space="preserve"> - e-mail </w:t>
      </w:r>
      <w:hyperlink r:id="rId7" w:history="1">
        <w:r w:rsidR="00F31467" w:rsidRPr="00883427">
          <w:rPr>
            <w:rStyle w:val="Collegamentoipertestuale"/>
            <w:rFonts w:ascii="Times New Roman" w:hAnsi="Times New Roman" w:cs="Times New Roman"/>
          </w:rPr>
          <w:t>avvocato@studiotributariovillani.it</w:t>
        </w:r>
      </w:hyperlink>
    </w:p>
    <w:p w:rsidR="00F31467" w:rsidRPr="00883427" w:rsidRDefault="00F31467" w:rsidP="00F31467">
      <w:pPr>
        <w:jc w:val="center"/>
        <w:rPr>
          <w:rFonts w:ascii="Times New Roman" w:hAnsi="Times New Roman" w:cs="Times New Roman"/>
        </w:rPr>
      </w:pPr>
    </w:p>
    <w:sectPr w:rsidR="00F31467" w:rsidRPr="0088342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248" w:rsidRDefault="00AE5248" w:rsidP="00D32476">
      <w:pPr>
        <w:spacing w:after="0" w:line="240" w:lineRule="auto"/>
      </w:pPr>
      <w:r>
        <w:separator/>
      </w:r>
    </w:p>
  </w:endnote>
  <w:endnote w:type="continuationSeparator" w:id="0">
    <w:p w:rsidR="00AE5248" w:rsidRDefault="00AE5248" w:rsidP="00D32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315542"/>
      <w:docPartObj>
        <w:docPartGallery w:val="Page Numbers (Bottom of Page)"/>
        <w:docPartUnique/>
      </w:docPartObj>
    </w:sdtPr>
    <w:sdtEndPr/>
    <w:sdtContent>
      <w:p w:rsidR="00D32476" w:rsidRDefault="00D32476">
        <w:pPr>
          <w:pStyle w:val="Pidipagina"/>
          <w:jc w:val="right"/>
        </w:pPr>
        <w:r>
          <w:fldChar w:fldCharType="begin"/>
        </w:r>
        <w:r>
          <w:instrText>PAGE   \* MERGEFORMAT</w:instrText>
        </w:r>
        <w:r>
          <w:fldChar w:fldCharType="separate"/>
        </w:r>
        <w:r w:rsidR="008837E7">
          <w:rPr>
            <w:noProof/>
          </w:rPr>
          <w:t>1</w:t>
        </w:r>
        <w:r>
          <w:fldChar w:fldCharType="end"/>
        </w:r>
      </w:p>
    </w:sdtContent>
  </w:sdt>
  <w:p w:rsidR="00D32476" w:rsidRDefault="00D3247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248" w:rsidRDefault="00AE5248" w:rsidP="00D32476">
      <w:pPr>
        <w:spacing w:after="0" w:line="240" w:lineRule="auto"/>
      </w:pPr>
      <w:r>
        <w:separator/>
      </w:r>
    </w:p>
  </w:footnote>
  <w:footnote w:type="continuationSeparator" w:id="0">
    <w:p w:rsidR="00AE5248" w:rsidRDefault="00AE5248" w:rsidP="00D324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467"/>
    <w:rsid w:val="00025830"/>
    <w:rsid w:val="0018363E"/>
    <w:rsid w:val="00196C68"/>
    <w:rsid w:val="001A11FA"/>
    <w:rsid w:val="00202368"/>
    <w:rsid w:val="0027664F"/>
    <w:rsid w:val="00295C72"/>
    <w:rsid w:val="0037687E"/>
    <w:rsid w:val="004C7C33"/>
    <w:rsid w:val="005F1585"/>
    <w:rsid w:val="006625F0"/>
    <w:rsid w:val="00665037"/>
    <w:rsid w:val="006B7222"/>
    <w:rsid w:val="00770E55"/>
    <w:rsid w:val="00883427"/>
    <w:rsid w:val="008837E7"/>
    <w:rsid w:val="00884782"/>
    <w:rsid w:val="009E46FD"/>
    <w:rsid w:val="00A5566D"/>
    <w:rsid w:val="00AE5248"/>
    <w:rsid w:val="00B97C64"/>
    <w:rsid w:val="00C03616"/>
    <w:rsid w:val="00C84033"/>
    <w:rsid w:val="00D32476"/>
    <w:rsid w:val="00DC7EE3"/>
    <w:rsid w:val="00E73572"/>
    <w:rsid w:val="00F121C9"/>
    <w:rsid w:val="00F31467"/>
    <w:rsid w:val="00F63189"/>
    <w:rsid w:val="00FE0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50A46-3FBC-4FE9-89A4-10AE0A51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31467"/>
    <w:rPr>
      <w:color w:val="0563C1" w:themeColor="hyperlink"/>
      <w:u w:val="single"/>
    </w:rPr>
  </w:style>
  <w:style w:type="character" w:styleId="Menzionenonrisolta">
    <w:name w:val="Unresolved Mention"/>
    <w:basedOn w:val="Carpredefinitoparagrafo"/>
    <w:uiPriority w:val="99"/>
    <w:semiHidden/>
    <w:unhideWhenUsed/>
    <w:rsid w:val="00F31467"/>
    <w:rPr>
      <w:color w:val="808080"/>
      <w:shd w:val="clear" w:color="auto" w:fill="E6E6E6"/>
    </w:rPr>
  </w:style>
  <w:style w:type="character" w:customStyle="1" w:styleId="CharacterStyle2">
    <w:name w:val="Character Style 2"/>
    <w:uiPriority w:val="99"/>
    <w:rsid w:val="00D32476"/>
    <w:rPr>
      <w:sz w:val="20"/>
      <w:szCs w:val="20"/>
    </w:rPr>
  </w:style>
  <w:style w:type="paragraph" w:customStyle="1" w:styleId="Style6">
    <w:name w:val="Style 6"/>
    <w:basedOn w:val="Normale"/>
    <w:uiPriority w:val="99"/>
    <w:rsid w:val="00D32476"/>
    <w:pPr>
      <w:widowControl w:val="0"/>
      <w:autoSpaceDE w:val="0"/>
      <w:autoSpaceDN w:val="0"/>
      <w:spacing w:before="108" w:after="0" w:line="360" w:lineRule="auto"/>
      <w:ind w:left="144" w:right="216"/>
      <w:jc w:val="both"/>
    </w:pPr>
    <w:rPr>
      <w:rFonts w:ascii="Verdana" w:eastAsiaTheme="minorEastAsia" w:hAnsi="Verdana" w:cs="Verdana"/>
      <w:sz w:val="24"/>
      <w:szCs w:val="24"/>
      <w:lang w:eastAsia="it-IT"/>
    </w:rPr>
  </w:style>
  <w:style w:type="character" w:customStyle="1" w:styleId="CharacterStyle4">
    <w:name w:val="Character Style 4"/>
    <w:uiPriority w:val="99"/>
    <w:rsid w:val="00D32476"/>
    <w:rPr>
      <w:rFonts w:ascii="Verdana" w:hAnsi="Verdana" w:cs="Verdana"/>
      <w:sz w:val="24"/>
      <w:szCs w:val="24"/>
    </w:rPr>
  </w:style>
  <w:style w:type="paragraph" w:styleId="Intestazione">
    <w:name w:val="header"/>
    <w:basedOn w:val="Normale"/>
    <w:link w:val="IntestazioneCarattere"/>
    <w:uiPriority w:val="99"/>
    <w:unhideWhenUsed/>
    <w:rsid w:val="00D3247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2476"/>
  </w:style>
  <w:style w:type="paragraph" w:styleId="Pidipagina">
    <w:name w:val="footer"/>
    <w:basedOn w:val="Normale"/>
    <w:link w:val="PidipaginaCarattere"/>
    <w:uiPriority w:val="99"/>
    <w:unhideWhenUsed/>
    <w:rsid w:val="00D3247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2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vvocato@studiotributariovillan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iotributariovillan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2017-11-27T07:29:00Z</dcterms:created>
  <dcterms:modified xsi:type="dcterms:W3CDTF">2017-11-27T07:29:00Z</dcterms:modified>
</cp:coreProperties>
</file>