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577" w:rsidRPr="00FF5577" w:rsidRDefault="00FF5577" w:rsidP="00FF5577">
      <w:pPr>
        <w:spacing w:after="0" w:line="360" w:lineRule="auto"/>
        <w:jc w:val="center"/>
        <w:rPr>
          <w:rFonts w:ascii="Calibri" w:hAnsi="Calibri" w:cs="Times New Roman"/>
          <w:b/>
          <w:sz w:val="36"/>
          <w:szCs w:val="36"/>
        </w:rPr>
      </w:pPr>
      <w:bookmarkStart w:id="0" w:name="_GoBack"/>
      <w:bookmarkEnd w:id="0"/>
      <w:r w:rsidRPr="00FF5577">
        <w:rPr>
          <w:rFonts w:ascii="Calibri" w:hAnsi="Calibri" w:cs="Times New Roman"/>
          <w:b/>
          <w:sz w:val="36"/>
          <w:szCs w:val="36"/>
        </w:rPr>
        <w:t>COME COMPORTARSI DURANTE LE VERIFICHE FISCALI</w:t>
      </w:r>
    </w:p>
    <w:p w:rsidR="00FF5577" w:rsidRDefault="00E71652" w:rsidP="00304981">
      <w:pPr>
        <w:spacing w:after="0" w:line="360" w:lineRule="auto"/>
        <w:jc w:val="both"/>
        <w:rPr>
          <w:rFonts w:ascii="Calibri" w:hAnsi="Calibri" w:cs="Times New Roman"/>
          <w:sz w:val="28"/>
          <w:szCs w:val="28"/>
        </w:rPr>
      </w:pPr>
      <w:r>
        <w:rPr>
          <w:rFonts w:ascii="Calibri" w:hAnsi="Calibri" w:cs="Times New Roman"/>
          <w:sz w:val="28"/>
          <w:szCs w:val="28"/>
        </w:rPr>
        <w:t>Il contribuente ed il suo difensore devono sapere come comportarsi correttamente durante le verifiche fiscali sia per non pregiudicare la difesa e sia per ben utilizzare la documentazione fiscale a vantaggio del contribuente stesso.</w:t>
      </w:r>
    </w:p>
    <w:p w:rsidR="00A97F71" w:rsidRDefault="00A97F71" w:rsidP="00304981">
      <w:pPr>
        <w:spacing w:after="0" w:line="360" w:lineRule="auto"/>
        <w:jc w:val="both"/>
        <w:rPr>
          <w:rFonts w:ascii="Calibri" w:hAnsi="Calibri" w:cs="Times New Roman"/>
          <w:b/>
          <w:sz w:val="28"/>
          <w:szCs w:val="28"/>
        </w:rPr>
      </w:pPr>
      <w:r w:rsidRPr="00A13444">
        <w:rPr>
          <w:rFonts w:ascii="Calibri" w:hAnsi="Calibri" w:cs="Times New Roman"/>
          <w:b/>
          <w:sz w:val="28"/>
          <w:szCs w:val="28"/>
        </w:rPr>
        <w:t xml:space="preserve">La normativa principale in materia di verifiche fiscali è contenuta negli articoli 52 e 63 del DPR n. 633/72, nell’articolo </w:t>
      </w:r>
      <w:r w:rsidR="00A13444" w:rsidRPr="00A13444">
        <w:rPr>
          <w:rFonts w:ascii="Calibri" w:hAnsi="Calibri" w:cs="Times New Roman"/>
          <w:b/>
          <w:sz w:val="28"/>
          <w:szCs w:val="28"/>
        </w:rPr>
        <w:t>33 DPR n. 600/73 e nell’articolo 12 della Legge n. 212/2000 (c.d. Statuto dei Diritti del Contribuente).</w:t>
      </w:r>
    </w:p>
    <w:p w:rsidR="00541DAF" w:rsidRPr="00541DAF" w:rsidRDefault="00541DAF" w:rsidP="00304981">
      <w:pPr>
        <w:spacing w:after="0" w:line="360" w:lineRule="auto"/>
        <w:jc w:val="both"/>
        <w:rPr>
          <w:rFonts w:ascii="Calibri" w:hAnsi="Calibri" w:cs="Times New Roman"/>
          <w:sz w:val="28"/>
          <w:szCs w:val="28"/>
        </w:rPr>
      </w:pPr>
      <w:r>
        <w:rPr>
          <w:rFonts w:ascii="Calibri" w:hAnsi="Calibri" w:cs="Times New Roman"/>
          <w:sz w:val="28"/>
          <w:szCs w:val="28"/>
        </w:rPr>
        <w:t>Inoltre, sul tema delle verifiche fiscali, la Corte di Cassazione si è pronunciata con varie sentenze.</w:t>
      </w:r>
    </w:p>
    <w:p w:rsidR="00833516" w:rsidRDefault="00AA190B" w:rsidP="00304981">
      <w:pPr>
        <w:spacing w:after="0" w:line="360" w:lineRule="auto"/>
        <w:jc w:val="both"/>
        <w:rPr>
          <w:rFonts w:ascii="Calibri" w:hAnsi="Calibri" w:cs="Times New Roman"/>
          <w:sz w:val="28"/>
          <w:szCs w:val="28"/>
        </w:rPr>
      </w:pPr>
      <w:r w:rsidRPr="008F0DD9">
        <w:rPr>
          <w:rFonts w:ascii="Calibri" w:hAnsi="Calibri" w:cs="Times New Roman"/>
          <w:sz w:val="28"/>
          <w:szCs w:val="28"/>
        </w:rPr>
        <w:t>Sotto il primo profilo (</w:t>
      </w:r>
      <w:r w:rsidRPr="00085216">
        <w:rPr>
          <w:rFonts w:ascii="Calibri" w:hAnsi="Calibri" w:cs="Times New Roman"/>
          <w:b/>
          <w:sz w:val="28"/>
          <w:szCs w:val="28"/>
        </w:rPr>
        <w:t>onere motivazionale</w:t>
      </w:r>
      <w:r w:rsidRPr="008F0DD9">
        <w:rPr>
          <w:rFonts w:ascii="Calibri" w:hAnsi="Calibri" w:cs="Times New Roman"/>
          <w:sz w:val="28"/>
          <w:szCs w:val="28"/>
        </w:rPr>
        <w:t xml:space="preserve">) </w:t>
      </w:r>
      <w:r w:rsidR="00833516">
        <w:rPr>
          <w:rFonts w:ascii="Calibri" w:hAnsi="Calibri" w:cs="Times New Roman"/>
          <w:sz w:val="28"/>
          <w:szCs w:val="28"/>
        </w:rPr>
        <w:t>è utile</w:t>
      </w:r>
      <w:r w:rsidRPr="008F0DD9">
        <w:rPr>
          <w:rFonts w:ascii="Calibri" w:hAnsi="Calibri" w:cs="Times New Roman"/>
          <w:sz w:val="28"/>
          <w:szCs w:val="28"/>
        </w:rPr>
        <w:t xml:space="preserve"> rammentare che, secondo principio consolidato nella giurisprudenza </w:t>
      </w:r>
      <w:r w:rsidR="00833516">
        <w:rPr>
          <w:rFonts w:ascii="Calibri" w:hAnsi="Calibri" w:cs="Times New Roman"/>
          <w:sz w:val="28"/>
          <w:szCs w:val="28"/>
        </w:rPr>
        <w:t>della Corte di Cassazione</w:t>
      </w:r>
      <w:r w:rsidRPr="008F0DD9">
        <w:rPr>
          <w:rFonts w:ascii="Calibri" w:hAnsi="Calibri" w:cs="Times New Roman"/>
          <w:sz w:val="28"/>
          <w:szCs w:val="28"/>
        </w:rPr>
        <w:t>, l'onere dell'Ufficio di mettere in grado il contribuente</w:t>
      </w:r>
      <w:r w:rsidR="00833516">
        <w:rPr>
          <w:rFonts w:ascii="Calibri" w:hAnsi="Calibri" w:cs="Times New Roman"/>
          <w:sz w:val="28"/>
          <w:szCs w:val="28"/>
        </w:rPr>
        <w:t>,</w:t>
      </w:r>
      <w:r w:rsidRPr="008F0DD9">
        <w:rPr>
          <w:rFonts w:ascii="Calibri" w:hAnsi="Calibri" w:cs="Times New Roman"/>
          <w:sz w:val="28"/>
          <w:szCs w:val="28"/>
        </w:rPr>
        <w:t xml:space="preserve"> attraverso la motivazione dell'atto impositivo, di conoscere le ragioni della pretesa tributaria può essere assolto per relationem mediante il riferimento a</w:t>
      </w:r>
      <w:r w:rsidR="00085216">
        <w:rPr>
          <w:rFonts w:ascii="Calibri" w:hAnsi="Calibri" w:cs="Times New Roman"/>
          <w:sz w:val="28"/>
          <w:szCs w:val="28"/>
        </w:rPr>
        <w:t>d</w:t>
      </w:r>
      <w:r w:rsidRPr="008F0DD9">
        <w:rPr>
          <w:rFonts w:ascii="Calibri" w:hAnsi="Calibri" w:cs="Times New Roman"/>
          <w:sz w:val="28"/>
          <w:szCs w:val="28"/>
        </w:rPr>
        <w:t xml:space="preserve"> elementi offerti da altri documenti conosciuti o conoscibili dal destinatario, come il processo verbale di constatazione della Guardia di </w:t>
      </w:r>
      <w:r w:rsidR="008A7A21" w:rsidRPr="008F0DD9">
        <w:rPr>
          <w:rFonts w:ascii="Calibri" w:hAnsi="Calibri" w:cs="Times New Roman"/>
          <w:sz w:val="28"/>
          <w:szCs w:val="28"/>
        </w:rPr>
        <w:t>F</w:t>
      </w:r>
      <w:r w:rsidRPr="008F0DD9">
        <w:rPr>
          <w:rFonts w:ascii="Calibri" w:hAnsi="Calibri" w:cs="Times New Roman"/>
          <w:sz w:val="28"/>
          <w:szCs w:val="28"/>
        </w:rPr>
        <w:t>inanza notificato o consegnato al contribuente</w:t>
      </w:r>
      <w:r w:rsidR="00833516">
        <w:rPr>
          <w:rFonts w:ascii="Calibri" w:hAnsi="Calibri" w:cs="Times New Roman"/>
          <w:sz w:val="28"/>
          <w:szCs w:val="28"/>
        </w:rPr>
        <w:t>.</w:t>
      </w:r>
    </w:p>
    <w:p w:rsidR="00AA190B" w:rsidRPr="008F0DD9" w:rsidRDefault="00833516" w:rsidP="00304981">
      <w:pPr>
        <w:spacing w:after="0" w:line="360" w:lineRule="auto"/>
        <w:jc w:val="both"/>
        <w:rPr>
          <w:rFonts w:ascii="Calibri" w:hAnsi="Calibri" w:cs="Times New Roman"/>
          <w:sz w:val="28"/>
          <w:szCs w:val="28"/>
        </w:rPr>
      </w:pPr>
      <w:r>
        <w:rPr>
          <w:rFonts w:ascii="Calibri" w:hAnsi="Calibri" w:cs="Times New Roman"/>
          <w:sz w:val="28"/>
          <w:szCs w:val="28"/>
        </w:rPr>
        <w:t>I</w:t>
      </w:r>
      <w:r w:rsidR="00AA190B" w:rsidRPr="008F0DD9">
        <w:rPr>
          <w:rFonts w:ascii="Calibri" w:hAnsi="Calibri" w:cs="Times New Roman"/>
          <w:sz w:val="28"/>
          <w:szCs w:val="28"/>
        </w:rPr>
        <w:t>n tale prospettiva</w:t>
      </w:r>
      <w:r>
        <w:rPr>
          <w:rFonts w:ascii="Calibri" w:hAnsi="Calibri" w:cs="Times New Roman"/>
          <w:sz w:val="28"/>
          <w:szCs w:val="28"/>
        </w:rPr>
        <w:t>,</w:t>
      </w:r>
      <w:r w:rsidR="00AA190B" w:rsidRPr="008F0DD9">
        <w:rPr>
          <w:rFonts w:ascii="Calibri" w:hAnsi="Calibri" w:cs="Times New Roman"/>
          <w:sz w:val="28"/>
          <w:szCs w:val="28"/>
        </w:rPr>
        <w:t xml:space="preserve"> non v</w:t>
      </w:r>
      <w:r w:rsidR="00085216">
        <w:rPr>
          <w:rFonts w:ascii="Calibri" w:hAnsi="Calibri" w:cs="Times New Roman"/>
          <w:sz w:val="28"/>
          <w:szCs w:val="28"/>
        </w:rPr>
        <w:t>i è</w:t>
      </w:r>
      <w:r w:rsidR="00AA190B" w:rsidRPr="008F0DD9">
        <w:rPr>
          <w:rFonts w:ascii="Calibri" w:hAnsi="Calibri" w:cs="Times New Roman"/>
          <w:sz w:val="28"/>
          <w:szCs w:val="28"/>
        </w:rPr>
        <w:t xml:space="preserve"> motivo di non riconoscere anche l'ammissibilità di una doppia motivazione per relationem laddove anche il processo verbale di constatazione a sua volta faccia rimando a documenti in possesso o comunque conosciuti o agevolmente conoscibili dal contribuente.</w:t>
      </w:r>
    </w:p>
    <w:p w:rsidR="008A7A21" w:rsidRPr="00833516" w:rsidRDefault="00AA190B" w:rsidP="00304981">
      <w:pPr>
        <w:spacing w:after="0" w:line="360" w:lineRule="auto"/>
        <w:jc w:val="both"/>
        <w:rPr>
          <w:rFonts w:ascii="Calibri" w:hAnsi="Calibri" w:cs="Times New Roman"/>
          <w:b/>
          <w:sz w:val="28"/>
          <w:szCs w:val="28"/>
        </w:rPr>
      </w:pPr>
      <w:r w:rsidRPr="008F0DD9">
        <w:rPr>
          <w:rFonts w:ascii="Calibri" w:hAnsi="Calibri" w:cs="Times New Roman"/>
          <w:sz w:val="28"/>
          <w:szCs w:val="28"/>
        </w:rPr>
        <w:t>Sotto il secondo profilo (</w:t>
      </w:r>
      <w:r w:rsidRPr="00085216">
        <w:rPr>
          <w:rFonts w:ascii="Calibri" w:hAnsi="Calibri" w:cs="Times New Roman"/>
          <w:b/>
          <w:sz w:val="28"/>
          <w:szCs w:val="28"/>
        </w:rPr>
        <w:t>onere probatorio</w:t>
      </w:r>
      <w:r w:rsidRPr="008F0DD9">
        <w:rPr>
          <w:rFonts w:ascii="Calibri" w:hAnsi="Calibri" w:cs="Times New Roman"/>
          <w:sz w:val="28"/>
          <w:szCs w:val="28"/>
        </w:rPr>
        <w:t>) occorre</w:t>
      </w:r>
      <w:r w:rsidR="00833516">
        <w:rPr>
          <w:rFonts w:ascii="Calibri" w:hAnsi="Calibri" w:cs="Times New Roman"/>
          <w:sz w:val="28"/>
          <w:szCs w:val="28"/>
        </w:rPr>
        <w:t>, però,</w:t>
      </w:r>
      <w:r w:rsidRPr="008F0DD9">
        <w:rPr>
          <w:rFonts w:ascii="Calibri" w:hAnsi="Calibri" w:cs="Times New Roman"/>
          <w:sz w:val="28"/>
          <w:szCs w:val="28"/>
        </w:rPr>
        <w:t xml:space="preserve"> considerare che il processo verbale di constatazione, redatto dalla Guardia di </w:t>
      </w:r>
      <w:r w:rsidR="008A7A21" w:rsidRPr="008F0DD9">
        <w:rPr>
          <w:rFonts w:ascii="Calibri" w:hAnsi="Calibri" w:cs="Times New Roman"/>
          <w:sz w:val="28"/>
          <w:szCs w:val="28"/>
        </w:rPr>
        <w:t>F</w:t>
      </w:r>
      <w:r w:rsidRPr="008F0DD9">
        <w:rPr>
          <w:rFonts w:ascii="Calibri" w:hAnsi="Calibri" w:cs="Times New Roman"/>
          <w:sz w:val="28"/>
          <w:szCs w:val="28"/>
        </w:rPr>
        <w:t xml:space="preserve">inanza o dagli altri organi di controllo fiscale, può assumere un valore probatorio diverso a seconda della natura dei fatti da esso attestati, potendosi distinguere al riguardo </w:t>
      </w:r>
      <w:r w:rsidRPr="00833516">
        <w:rPr>
          <w:rFonts w:ascii="Calibri" w:hAnsi="Calibri" w:cs="Times New Roman"/>
          <w:b/>
          <w:sz w:val="28"/>
          <w:szCs w:val="28"/>
        </w:rPr>
        <w:t>un triplice livello di attendibilità</w:t>
      </w:r>
      <w:r w:rsidR="00302419">
        <w:rPr>
          <w:rFonts w:ascii="Calibri" w:hAnsi="Calibri" w:cs="Times New Roman"/>
          <w:b/>
          <w:sz w:val="28"/>
          <w:szCs w:val="28"/>
        </w:rPr>
        <w:t xml:space="preserve"> (Corte di Cassazione – Quinta Sezione Civile – Sentenza n. 28063 depositata il 24/11/2017)</w:t>
      </w:r>
      <w:r w:rsidRPr="00833516">
        <w:rPr>
          <w:rFonts w:ascii="Calibri" w:hAnsi="Calibri" w:cs="Times New Roman"/>
          <w:b/>
          <w:sz w:val="28"/>
          <w:szCs w:val="28"/>
        </w:rPr>
        <w:t xml:space="preserve">: </w:t>
      </w:r>
    </w:p>
    <w:p w:rsidR="008A7A21" w:rsidRPr="005F3E6B" w:rsidRDefault="00AA190B" w:rsidP="00304981">
      <w:pPr>
        <w:pStyle w:val="Paragrafoelenco"/>
        <w:numPr>
          <w:ilvl w:val="0"/>
          <w:numId w:val="3"/>
        </w:numPr>
        <w:spacing w:after="0" w:line="360" w:lineRule="auto"/>
        <w:jc w:val="both"/>
        <w:rPr>
          <w:rFonts w:ascii="Calibri" w:hAnsi="Calibri" w:cs="Times New Roman"/>
          <w:b/>
          <w:sz w:val="28"/>
          <w:szCs w:val="28"/>
        </w:rPr>
      </w:pPr>
      <w:r w:rsidRPr="005F3E6B">
        <w:rPr>
          <w:rFonts w:ascii="Calibri" w:hAnsi="Calibri" w:cs="Times New Roman"/>
          <w:b/>
          <w:sz w:val="28"/>
          <w:szCs w:val="28"/>
        </w:rPr>
        <w:lastRenderedPageBreak/>
        <w:t>il verbale è assistito da fede privilegiata ai sensi dell'art. 2700 cod. civ., relativamente ai fatti attestati dal pubblico ufficiale come da lui compiuti o</w:t>
      </w:r>
      <w:r w:rsidRPr="008F0DD9">
        <w:rPr>
          <w:rFonts w:ascii="Calibri" w:hAnsi="Calibri" w:cs="Times New Roman"/>
          <w:sz w:val="28"/>
          <w:szCs w:val="28"/>
        </w:rPr>
        <w:t xml:space="preserve"> </w:t>
      </w:r>
      <w:r w:rsidRPr="005F3E6B">
        <w:rPr>
          <w:rFonts w:ascii="Calibri" w:hAnsi="Calibri" w:cs="Times New Roman"/>
          <w:b/>
          <w:sz w:val="28"/>
          <w:szCs w:val="28"/>
        </w:rPr>
        <w:t xml:space="preserve">avvenuti in sua presenza, o che abbia potuto conoscere senza alcun margine di apprezzamento o di percezione sensoriale, nonché quanto alla provenienza del documento dallo stesso pubblico ufficiale ed alle dichiarazioni a lui rese (cfr. ex </w:t>
      </w:r>
      <w:proofErr w:type="spellStart"/>
      <w:r w:rsidRPr="005F3E6B">
        <w:rPr>
          <w:rFonts w:ascii="Calibri" w:hAnsi="Calibri" w:cs="Times New Roman"/>
          <w:b/>
          <w:sz w:val="28"/>
          <w:szCs w:val="28"/>
        </w:rPr>
        <w:t>multis</w:t>
      </w:r>
      <w:proofErr w:type="spellEnd"/>
      <w:r w:rsidRPr="005F3E6B">
        <w:rPr>
          <w:rFonts w:ascii="Calibri" w:hAnsi="Calibri" w:cs="Times New Roman"/>
          <w:b/>
          <w:sz w:val="28"/>
          <w:szCs w:val="28"/>
        </w:rPr>
        <w:t xml:space="preserve"> Cass. 03/07/2014, n. 15191; Cass. 10/02/2006, n. 2949); </w:t>
      </w:r>
      <w:r w:rsidR="005F3E6B" w:rsidRPr="005F3E6B">
        <w:rPr>
          <w:rFonts w:ascii="Calibri" w:hAnsi="Calibri" w:cs="Times New Roman"/>
          <w:b/>
          <w:sz w:val="28"/>
          <w:szCs w:val="28"/>
        </w:rPr>
        <w:t>in questi casi, se il contribuente intende contestare deve obbligatoriamente presentare la querela di falso;</w:t>
      </w:r>
    </w:p>
    <w:p w:rsidR="008A7A21" w:rsidRPr="00302419" w:rsidRDefault="00AA190B" w:rsidP="00304981">
      <w:pPr>
        <w:pStyle w:val="Paragrafoelenco"/>
        <w:numPr>
          <w:ilvl w:val="0"/>
          <w:numId w:val="3"/>
        </w:numPr>
        <w:spacing w:after="0" w:line="360" w:lineRule="auto"/>
        <w:jc w:val="both"/>
        <w:rPr>
          <w:rFonts w:ascii="Calibri" w:hAnsi="Calibri" w:cs="Times New Roman"/>
          <w:b/>
          <w:sz w:val="28"/>
          <w:szCs w:val="28"/>
        </w:rPr>
      </w:pPr>
      <w:r w:rsidRPr="00302419">
        <w:rPr>
          <w:rFonts w:ascii="Calibri" w:hAnsi="Calibri" w:cs="Times New Roman"/>
          <w:b/>
          <w:sz w:val="28"/>
          <w:szCs w:val="28"/>
        </w:rPr>
        <w:t>quanto invece alla veridicità sostanziale delle dichiarazioni a lui rese dalle parti o da terzi</w:t>
      </w:r>
      <w:r w:rsidR="00302419" w:rsidRPr="00302419">
        <w:rPr>
          <w:rFonts w:ascii="Calibri" w:hAnsi="Calibri" w:cs="Times New Roman"/>
          <w:b/>
          <w:sz w:val="28"/>
          <w:szCs w:val="28"/>
        </w:rPr>
        <w:t>,</w:t>
      </w:r>
      <w:r w:rsidRPr="00302419">
        <w:rPr>
          <w:rFonts w:ascii="Calibri" w:hAnsi="Calibri" w:cs="Times New Roman"/>
          <w:b/>
          <w:sz w:val="28"/>
          <w:szCs w:val="28"/>
        </w:rPr>
        <w:t xml:space="preserve"> e dunque anche del contenuto di documenti formati dalla stessa parte e/o da terzi</w:t>
      </w:r>
      <w:r w:rsidR="00302419" w:rsidRPr="00302419">
        <w:rPr>
          <w:rFonts w:ascii="Calibri" w:hAnsi="Calibri" w:cs="Times New Roman"/>
          <w:b/>
          <w:sz w:val="28"/>
          <w:szCs w:val="28"/>
        </w:rPr>
        <w:t>,</w:t>
      </w:r>
      <w:r w:rsidRPr="00302419">
        <w:rPr>
          <w:rFonts w:ascii="Calibri" w:hAnsi="Calibri" w:cs="Times New Roman"/>
          <w:b/>
          <w:sz w:val="28"/>
          <w:szCs w:val="28"/>
        </w:rPr>
        <w:t xml:space="preserve"> esso fa fede fino a prova contraria, che può essere fornita qualora la specifica indicazione delle fonti di conoscenza consenta al giudice ed alle parti l'eventuale controllo e valutazione del contenuto delle dichiarazioni; </w:t>
      </w:r>
    </w:p>
    <w:p w:rsidR="00AA190B" w:rsidRPr="00302419" w:rsidRDefault="00AA190B" w:rsidP="00304981">
      <w:pPr>
        <w:pStyle w:val="Paragrafoelenco"/>
        <w:numPr>
          <w:ilvl w:val="0"/>
          <w:numId w:val="3"/>
        </w:numPr>
        <w:spacing w:after="0" w:line="360" w:lineRule="auto"/>
        <w:jc w:val="both"/>
        <w:rPr>
          <w:rFonts w:ascii="Calibri" w:hAnsi="Calibri" w:cs="Times New Roman"/>
          <w:b/>
          <w:sz w:val="28"/>
          <w:szCs w:val="28"/>
        </w:rPr>
      </w:pPr>
      <w:r w:rsidRPr="008F0DD9">
        <w:rPr>
          <w:rFonts w:ascii="Calibri" w:hAnsi="Calibri" w:cs="Times New Roman"/>
          <w:sz w:val="28"/>
          <w:szCs w:val="28"/>
        </w:rPr>
        <w:t xml:space="preserve"> </w:t>
      </w:r>
      <w:r w:rsidRPr="00302419">
        <w:rPr>
          <w:rFonts w:ascii="Calibri" w:hAnsi="Calibri" w:cs="Times New Roman"/>
          <w:b/>
          <w:sz w:val="28"/>
          <w:szCs w:val="28"/>
        </w:rPr>
        <w:t>in mancanza della indicazione specifica dei soggetti le cui dichiarazioni vengono riportate nel verbale, esso costituisce comunque elemento di prova, che il giudice deve in ogni caso valutare, in concorso con gli altri elementi, ai fini della decisione, e può essere disatteso solo in caso di sua motivata intrinseca inattendibilità, o di contrasto con altri elementi acquisiti nel giudizio, attesa la certezza, fino a querela di falso, che quei documenti sono comunque stati esaminati dall'agente verificatore (cfr. Cass. 20/03/2007, n. 6565).</w:t>
      </w:r>
    </w:p>
    <w:p w:rsidR="00AA190B" w:rsidRDefault="00AA190B" w:rsidP="00304981">
      <w:pPr>
        <w:spacing w:after="0" w:line="360" w:lineRule="auto"/>
        <w:jc w:val="both"/>
        <w:rPr>
          <w:rFonts w:ascii="Calibri" w:hAnsi="Calibri" w:cs="Times New Roman"/>
          <w:sz w:val="28"/>
          <w:szCs w:val="28"/>
        </w:rPr>
      </w:pPr>
      <w:r w:rsidRPr="008F0DD9">
        <w:rPr>
          <w:rFonts w:ascii="Calibri" w:hAnsi="Calibri" w:cs="Times New Roman"/>
          <w:sz w:val="28"/>
          <w:szCs w:val="28"/>
        </w:rPr>
        <w:t>Alla luce di tali premesse ricostruttive, non è dubitabile che anche il solo riferimento da parte degli agenti accertatori, sia pure non specifico e analitico, al contenuto di documenti comunque conoscibili dal soggetto sottoposto a verifica vale a costituire elemento di prova</w:t>
      </w:r>
      <w:r w:rsidR="00302419">
        <w:rPr>
          <w:rFonts w:ascii="Calibri" w:hAnsi="Calibri" w:cs="Times New Roman"/>
          <w:sz w:val="28"/>
          <w:szCs w:val="28"/>
        </w:rPr>
        <w:t>,</w:t>
      </w:r>
      <w:r w:rsidRPr="008F0DD9">
        <w:rPr>
          <w:rFonts w:ascii="Calibri" w:hAnsi="Calibri" w:cs="Times New Roman"/>
          <w:sz w:val="28"/>
          <w:szCs w:val="28"/>
        </w:rPr>
        <w:t xml:space="preserve"> bensì non assistito da fede privilegiata ma pur sempre idoneo a suffragare le conclusioni in base ad essi raggiunte dai verificatori, ove  non risulti che </w:t>
      </w:r>
      <w:r w:rsidRPr="008F0DD9">
        <w:rPr>
          <w:rFonts w:ascii="Calibri" w:hAnsi="Calibri" w:cs="Times New Roman"/>
          <w:sz w:val="28"/>
          <w:szCs w:val="28"/>
        </w:rPr>
        <w:lastRenderedPageBreak/>
        <w:t>all'atto della verifica il contribuente abbia mosso specifica contestazione al riguardo, come indubbiamente era già in grado di fare.</w:t>
      </w:r>
    </w:p>
    <w:p w:rsidR="007B53A9" w:rsidRPr="007B53A9" w:rsidRDefault="007B53A9" w:rsidP="00304981">
      <w:pPr>
        <w:spacing w:after="0" w:line="360" w:lineRule="auto"/>
        <w:jc w:val="both"/>
        <w:rPr>
          <w:rFonts w:ascii="Calibri" w:hAnsi="Calibri" w:cs="Times New Roman"/>
          <w:b/>
          <w:sz w:val="28"/>
          <w:szCs w:val="28"/>
        </w:rPr>
      </w:pPr>
      <w:r w:rsidRPr="007B53A9">
        <w:rPr>
          <w:rFonts w:ascii="Calibri" w:hAnsi="Calibri" w:cs="Times New Roman"/>
          <w:b/>
          <w:sz w:val="28"/>
          <w:szCs w:val="28"/>
        </w:rPr>
        <w:t>Infatti, bisogna precisare che il contribuente ha diritto a non parlare e a non firmare il verbale quando ritiene di contestare il tutto.</w:t>
      </w:r>
    </w:p>
    <w:p w:rsidR="00AA190B" w:rsidRPr="008F0DD9" w:rsidRDefault="00AA190B" w:rsidP="00304981">
      <w:pPr>
        <w:pStyle w:val="Style17"/>
        <w:kinsoku w:val="0"/>
        <w:autoSpaceDE/>
        <w:autoSpaceDN/>
        <w:ind w:left="0" w:firstLine="0"/>
        <w:rPr>
          <w:rStyle w:val="CharacterStyle2"/>
          <w:rFonts w:ascii="Calibri" w:hAnsi="Calibri" w:cs="Times New Roman"/>
          <w:spacing w:val="4"/>
          <w:sz w:val="28"/>
          <w:szCs w:val="28"/>
        </w:rPr>
      </w:pPr>
      <w:r w:rsidRPr="008F0DD9">
        <w:rPr>
          <w:rFonts w:ascii="Calibri" w:hAnsi="Calibri" w:cs="Times New Roman"/>
          <w:sz w:val="28"/>
          <w:szCs w:val="28"/>
        </w:rPr>
        <w:t xml:space="preserve">Mette conto al riguardo rammentare che, secondo principio consolidato nella giurisprudenza di legittimità, nel giudizio di </w:t>
      </w:r>
      <w:r w:rsidR="00302419">
        <w:rPr>
          <w:rFonts w:ascii="Calibri" w:hAnsi="Calibri" w:cs="Times New Roman"/>
          <w:sz w:val="28"/>
          <w:szCs w:val="28"/>
        </w:rPr>
        <w:t>C</w:t>
      </w:r>
      <w:r w:rsidRPr="008F0DD9">
        <w:rPr>
          <w:rFonts w:ascii="Calibri" w:hAnsi="Calibri" w:cs="Times New Roman"/>
          <w:sz w:val="28"/>
          <w:szCs w:val="28"/>
        </w:rPr>
        <w:t xml:space="preserve">assazione, è preclusa alle parti la prospettazione di nuove questioni </w:t>
      </w:r>
      <w:r w:rsidRPr="008F0DD9">
        <w:rPr>
          <w:rStyle w:val="CharacterStyle2"/>
          <w:rFonts w:ascii="Calibri" w:hAnsi="Calibri" w:cs="Times New Roman"/>
          <w:spacing w:val="12"/>
          <w:sz w:val="28"/>
          <w:szCs w:val="28"/>
        </w:rPr>
        <w:t xml:space="preserve">che postulino indagini </w:t>
      </w:r>
      <w:proofErr w:type="spellStart"/>
      <w:r w:rsidRPr="008F0DD9">
        <w:rPr>
          <w:rStyle w:val="CharacterStyle2"/>
          <w:rFonts w:ascii="Calibri" w:hAnsi="Calibri" w:cs="Times New Roman"/>
          <w:spacing w:val="12"/>
          <w:sz w:val="28"/>
          <w:szCs w:val="28"/>
        </w:rPr>
        <w:t>ed</w:t>
      </w:r>
      <w:proofErr w:type="spellEnd"/>
      <w:r w:rsidRPr="008F0DD9">
        <w:rPr>
          <w:rStyle w:val="CharacterStyle2"/>
          <w:rFonts w:ascii="Calibri" w:hAnsi="Calibri" w:cs="Times New Roman"/>
          <w:spacing w:val="12"/>
          <w:sz w:val="28"/>
          <w:szCs w:val="28"/>
        </w:rPr>
        <w:t xml:space="preserve"> accertamenti di fatto non compiuti dal </w:t>
      </w:r>
      <w:r w:rsidRPr="008F0DD9">
        <w:rPr>
          <w:rStyle w:val="CharacterStyle2"/>
          <w:rFonts w:ascii="Calibri" w:hAnsi="Calibri" w:cs="Times New Roman"/>
          <w:spacing w:val="17"/>
          <w:sz w:val="28"/>
          <w:szCs w:val="28"/>
        </w:rPr>
        <w:t xml:space="preserve">giudice del merito, perché allo stesso non sollecitati. Ove una </w:t>
      </w:r>
      <w:r w:rsidRPr="008F0DD9">
        <w:rPr>
          <w:rStyle w:val="CharacterStyle2"/>
          <w:rFonts w:ascii="Calibri" w:hAnsi="Calibri" w:cs="Times New Roman"/>
          <w:spacing w:val="6"/>
          <w:sz w:val="28"/>
          <w:szCs w:val="28"/>
        </w:rPr>
        <w:t xml:space="preserve">determinata questione che implichi un accertamento di fatto </w:t>
      </w:r>
      <w:r w:rsidRPr="008F0DD9">
        <w:rPr>
          <w:rStyle w:val="CharacterStyle2"/>
          <w:rFonts w:ascii="Calibri" w:hAnsi="Calibri" w:cs="Times New Roman"/>
          <w:spacing w:val="16"/>
          <w:sz w:val="28"/>
          <w:szCs w:val="28"/>
        </w:rPr>
        <w:t xml:space="preserve">non risulti trattata in alcun modo nella sentenza impugnata, il </w:t>
      </w:r>
      <w:r w:rsidRPr="008F0DD9">
        <w:rPr>
          <w:rStyle w:val="CharacterStyle2"/>
          <w:rFonts w:ascii="Calibri" w:hAnsi="Calibri" w:cs="Times New Roman"/>
          <w:spacing w:val="8"/>
          <w:sz w:val="28"/>
          <w:szCs w:val="28"/>
        </w:rPr>
        <w:t xml:space="preserve">ricorrente che proponga la suddetta questione in sede di legittimità </w:t>
      </w:r>
      <w:r w:rsidRPr="008F0DD9">
        <w:rPr>
          <w:rStyle w:val="CharacterStyle2"/>
          <w:rFonts w:ascii="Calibri" w:hAnsi="Calibri" w:cs="Times New Roman"/>
          <w:spacing w:val="13"/>
          <w:sz w:val="28"/>
          <w:szCs w:val="28"/>
        </w:rPr>
        <w:t xml:space="preserve">ha l'onere di indicare in quale atto del giudizio di merito l'abbia </w:t>
      </w:r>
      <w:r w:rsidRPr="008F0DD9">
        <w:rPr>
          <w:rStyle w:val="CharacterStyle2"/>
          <w:rFonts w:ascii="Calibri" w:hAnsi="Calibri" w:cs="Times New Roman"/>
          <w:spacing w:val="16"/>
          <w:sz w:val="28"/>
          <w:szCs w:val="28"/>
        </w:rPr>
        <w:t xml:space="preserve">dedotta, così da permettere alla </w:t>
      </w:r>
      <w:r w:rsidR="00302419">
        <w:rPr>
          <w:rStyle w:val="CharacterStyle2"/>
          <w:rFonts w:ascii="Calibri" w:hAnsi="Calibri" w:cs="Times New Roman"/>
          <w:spacing w:val="16"/>
          <w:sz w:val="28"/>
          <w:szCs w:val="28"/>
        </w:rPr>
        <w:t>Corte di Cassazione</w:t>
      </w:r>
      <w:r w:rsidRPr="008F0DD9">
        <w:rPr>
          <w:rStyle w:val="CharacterStyle2"/>
          <w:rFonts w:ascii="Calibri" w:hAnsi="Calibri" w:cs="Times New Roman"/>
          <w:spacing w:val="16"/>
          <w:sz w:val="28"/>
          <w:szCs w:val="28"/>
        </w:rPr>
        <w:t xml:space="preserve"> di controllare </w:t>
      </w:r>
      <w:r w:rsidRPr="008F0DD9">
        <w:rPr>
          <w:rStyle w:val="CharacterStyle2"/>
          <w:rFonts w:ascii="Calibri" w:hAnsi="Calibri" w:cs="Times New Roman"/>
          <w:iCs/>
          <w:spacing w:val="16"/>
          <w:sz w:val="28"/>
          <w:szCs w:val="28"/>
        </w:rPr>
        <w:t xml:space="preserve">ex </w:t>
      </w:r>
      <w:proofErr w:type="spellStart"/>
      <w:r w:rsidRPr="008F0DD9">
        <w:rPr>
          <w:rStyle w:val="CharacterStyle2"/>
          <w:rFonts w:ascii="Calibri" w:hAnsi="Calibri" w:cs="Times New Roman"/>
          <w:iCs/>
          <w:spacing w:val="16"/>
          <w:sz w:val="28"/>
          <w:szCs w:val="28"/>
        </w:rPr>
        <w:t>actis</w:t>
      </w:r>
      <w:proofErr w:type="spellEnd"/>
      <w:r w:rsidRPr="008F0DD9">
        <w:rPr>
          <w:rStyle w:val="CharacterStyle2"/>
          <w:rFonts w:ascii="Calibri" w:hAnsi="Calibri" w:cs="Times New Roman"/>
          <w:i/>
          <w:iCs/>
          <w:spacing w:val="16"/>
          <w:sz w:val="28"/>
          <w:szCs w:val="28"/>
        </w:rPr>
        <w:t xml:space="preserve"> </w:t>
      </w:r>
      <w:r w:rsidRPr="008F0DD9">
        <w:rPr>
          <w:rStyle w:val="CharacterStyle2"/>
          <w:rFonts w:ascii="Calibri" w:hAnsi="Calibri" w:cs="Times New Roman"/>
          <w:spacing w:val="16"/>
          <w:sz w:val="28"/>
          <w:szCs w:val="28"/>
        </w:rPr>
        <w:t xml:space="preserve">la </w:t>
      </w:r>
      <w:r w:rsidRPr="008F0DD9">
        <w:rPr>
          <w:rStyle w:val="CharacterStyle2"/>
          <w:rFonts w:ascii="Calibri" w:hAnsi="Calibri" w:cs="Times New Roman"/>
          <w:spacing w:val="11"/>
          <w:sz w:val="28"/>
          <w:szCs w:val="28"/>
        </w:rPr>
        <w:t xml:space="preserve">veridicità di tale asserzione, prima di ogni altro esame (v. Cass. </w:t>
      </w:r>
      <w:r w:rsidRPr="008F0DD9">
        <w:rPr>
          <w:rStyle w:val="CharacterStyle2"/>
          <w:rFonts w:ascii="Calibri" w:hAnsi="Calibri" w:cs="Times New Roman"/>
          <w:spacing w:val="4"/>
          <w:sz w:val="28"/>
          <w:szCs w:val="28"/>
        </w:rPr>
        <w:t>12/07/2005, n. 14590; 28/07/2008, n. 20518).</w:t>
      </w:r>
    </w:p>
    <w:p w:rsidR="00924232" w:rsidRPr="008F0DD9" w:rsidRDefault="00AA190B" w:rsidP="007B53A9">
      <w:pPr>
        <w:pStyle w:val="Style13"/>
        <w:kinsoku w:val="0"/>
        <w:spacing w:before="0" w:after="0" w:line="360" w:lineRule="auto"/>
        <w:ind w:left="0" w:firstLine="0"/>
        <w:rPr>
          <w:rStyle w:val="CharacterStyle4"/>
          <w:rFonts w:ascii="Calibri" w:hAnsi="Calibri" w:cs="Times New Roman"/>
          <w:spacing w:val="8"/>
          <w:sz w:val="28"/>
          <w:szCs w:val="28"/>
        </w:rPr>
      </w:pPr>
      <w:r w:rsidRPr="008F0DD9">
        <w:rPr>
          <w:rStyle w:val="CharacterStyle4"/>
          <w:rFonts w:ascii="Calibri" w:hAnsi="Calibri" w:cs="Times New Roman"/>
          <w:spacing w:val="8"/>
          <w:sz w:val="28"/>
          <w:szCs w:val="28"/>
        </w:rPr>
        <w:t xml:space="preserve">È appena il caso al riguardo di rammentare che ad integrare gli estremi del vizio di omessa pronuncia non basta la mancanza di una espressa statuizione del giudice su ogni questione o argomentazione difensiva svolta dalla parte, essendo necessaria la totale pretermissione del provvedimento che si palesa indispensabile alla soluzione del caso concreto, e dovendo pertanto escludersi il suddetto vizio quando la decisione, adottata in contrasto con la pretesa fatta valere dalla parte, ne comporti il rigetto o la non </w:t>
      </w:r>
      <w:proofErr w:type="spellStart"/>
      <w:r w:rsidRPr="008F0DD9">
        <w:rPr>
          <w:rStyle w:val="CharacterStyle4"/>
          <w:rFonts w:ascii="Calibri" w:hAnsi="Calibri" w:cs="Times New Roman"/>
          <w:spacing w:val="8"/>
          <w:sz w:val="28"/>
          <w:szCs w:val="28"/>
        </w:rPr>
        <w:t>esaminabilità</w:t>
      </w:r>
      <w:proofErr w:type="spellEnd"/>
      <w:r w:rsidRPr="008F0DD9">
        <w:rPr>
          <w:rStyle w:val="CharacterStyle4"/>
          <w:rFonts w:ascii="Calibri" w:hAnsi="Calibri" w:cs="Times New Roman"/>
          <w:spacing w:val="8"/>
          <w:sz w:val="28"/>
          <w:szCs w:val="28"/>
        </w:rPr>
        <w:t xml:space="preserve"> pur in assenza di una specifica argomentazione (v. Cass. n. 10636 del 2007). </w:t>
      </w:r>
    </w:p>
    <w:p w:rsidR="00E1047F" w:rsidRDefault="00AA190B" w:rsidP="007B53A9">
      <w:pPr>
        <w:pStyle w:val="Style13"/>
        <w:kinsoku w:val="0"/>
        <w:spacing w:before="0" w:after="0" w:line="360" w:lineRule="auto"/>
        <w:ind w:left="0" w:firstLine="0"/>
        <w:rPr>
          <w:rStyle w:val="CharacterStyle4"/>
          <w:rFonts w:ascii="Calibri" w:hAnsi="Calibri" w:cs="Times New Roman"/>
          <w:spacing w:val="8"/>
          <w:sz w:val="28"/>
          <w:szCs w:val="28"/>
        </w:rPr>
      </w:pPr>
      <w:r w:rsidRPr="008F0DD9">
        <w:rPr>
          <w:rStyle w:val="CharacterStyle4"/>
          <w:rFonts w:ascii="Calibri" w:hAnsi="Calibri" w:cs="Times New Roman"/>
          <w:spacing w:val="8"/>
          <w:sz w:val="28"/>
          <w:szCs w:val="28"/>
        </w:rPr>
        <w:t>È vero che, sempre secondo la giurisprudenza</w:t>
      </w:r>
      <w:r w:rsidR="00E1047F">
        <w:rPr>
          <w:rStyle w:val="CharacterStyle4"/>
          <w:rFonts w:ascii="Calibri" w:hAnsi="Calibri" w:cs="Times New Roman"/>
          <w:spacing w:val="8"/>
          <w:sz w:val="28"/>
          <w:szCs w:val="28"/>
        </w:rPr>
        <w:t xml:space="preserve"> di legittimità</w:t>
      </w:r>
      <w:r w:rsidRPr="008F0DD9">
        <w:rPr>
          <w:rStyle w:val="CharacterStyle4"/>
          <w:rFonts w:ascii="Calibri" w:hAnsi="Calibri" w:cs="Times New Roman"/>
          <w:spacing w:val="8"/>
          <w:sz w:val="28"/>
          <w:szCs w:val="28"/>
        </w:rPr>
        <w:t xml:space="preserve">, l'omessa pronuncia su alcuni dei motivi di appello integra un difetto di attività del giudice di secondo grado che deve essere fatto valere dal ricorrente attraverso la specifica deduzione del relativo </w:t>
      </w:r>
      <w:proofErr w:type="spellStart"/>
      <w:r w:rsidRPr="008F0DD9">
        <w:rPr>
          <w:rStyle w:val="CharacterStyle4"/>
          <w:rFonts w:ascii="Calibri" w:hAnsi="Calibri" w:cs="Times New Roman"/>
          <w:spacing w:val="8"/>
          <w:sz w:val="28"/>
          <w:szCs w:val="28"/>
        </w:rPr>
        <w:t>error</w:t>
      </w:r>
      <w:proofErr w:type="spellEnd"/>
      <w:r w:rsidRPr="008F0DD9">
        <w:rPr>
          <w:rStyle w:val="CharacterStyle4"/>
          <w:rFonts w:ascii="Calibri" w:hAnsi="Calibri" w:cs="Times New Roman"/>
          <w:spacing w:val="8"/>
          <w:sz w:val="28"/>
          <w:szCs w:val="28"/>
        </w:rPr>
        <w:t xml:space="preserve"> in procedendo per violazione dell'art. 112 c.p.c. (v. Cass. n. 11844 del 2006; n. 24856 del 2006 e n. 12952 del 2007)</w:t>
      </w:r>
      <w:r w:rsidR="00E1047F">
        <w:rPr>
          <w:rStyle w:val="CharacterStyle4"/>
          <w:rFonts w:ascii="Calibri" w:hAnsi="Calibri" w:cs="Times New Roman"/>
          <w:spacing w:val="8"/>
          <w:sz w:val="28"/>
          <w:szCs w:val="28"/>
        </w:rPr>
        <w:t>.</w:t>
      </w:r>
    </w:p>
    <w:p w:rsidR="00AA190B" w:rsidRPr="008F0DD9" w:rsidRDefault="00E1047F" w:rsidP="00304981">
      <w:pPr>
        <w:pStyle w:val="Style13"/>
        <w:kinsoku w:val="0"/>
        <w:spacing w:before="0" w:after="0" w:line="360" w:lineRule="auto"/>
        <w:ind w:left="0" w:firstLine="0"/>
        <w:rPr>
          <w:rStyle w:val="CharacterStyle4"/>
          <w:rFonts w:ascii="Calibri" w:hAnsi="Calibri" w:cs="Times New Roman"/>
          <w:spacing w:val="8"/>
          <w:sz w:val="28"/>
          <w:szCs w:val="28"/>
        </w:rPr>
      </w:pPr>
      <w:r>
        <w:rPr>
          <w:rStyle w:val="CharacterStyle4"/>
          <w:rFonts w:ascii="Calibri" w:hAnsi="Calibri" w:cs="Times New Roman"/>
          <w:spacing w:val="8"/>
          <w:sz w:val="28"/>
          <w:szCs w:val="28"/>
        </w:rPr>
        <w:lastRenderedPageBreak/>
        <w:t>Infine, la</w:t>
      </w:r>
      <w:r w:rsidR="00AA190B" w:rsidRPr="008F0DD9">
        <w:rPr>
          <w:rStyle w:val="CharacterStyle4"/>
          <w:rFonts w:ascii="Calibri" w:hAnsi="Calibri" w:cs="Times New Roman"/>
          <w:spacing w:val="8"/>
          <w:sz w:val="28"/>
          <w:szCs w:val="28"/>
        </w:rPr>
        <w:t xml:space="preserve"> Corte</w:t>
      </w:r>
      <w:r>
        <w:rPr>
          <w:rStyle w:val="CharacterStyle4"/>
          <w:rFonts w:ascii="Calibri" w:hAnsi="Calibri" w:cs="Times New Roman"/>
          <w:spacing w:val="8"/>
          <w:sz w:val="28"/>
          <w:szCs w:val="28"/>
        </w:rPr>
        <w:t xml:space="preserve"> di Cassazione</w:t>
      </w:r>
      <w:r w:rsidR="00AA190B" w:rsidRPr="008F0DD9">
        <w:rPr>
          <w:rStyle w:val="CharacterStyle4"/>
          <w:rFonts w:ascii="Calibri" w:hAnsi="Calibri" w:cs="Times New Roman"/>
          <w:spacing w:val="8"/>
          <w:sz w:val="28"/>
          <w:szCs w:val="28"/>
        </w:rPr>
        <w:t xml:space="preserve"> ha già avuto modo di chiarire, </w:t>
      </w:r>
      <w:r w:rsidR="008174D5">
        <w:rPr>
          <w:rStyle w:val="CharacterStyle4"/>
          <w:rFonts w:ascii="Calibri" w:hAnsi="Calibri" w:cs="Times New Roman"/>
          <w:spacing w:val="8"/>
          <w:sz w:val="28"/>
          <w:szCs w:val="28"/>
        </w:rPr>
        <w:t xml:space="preserve">in modo </w:t>
      </w:r>
      <w:r>
        <w:rPr>
          <w:rStyle w:val="CharacterStyle4"/>
          <w:rFonts w:ascii="Calibri" w:hAnsi="Calibri" w:cs="Times New Roman"/>
          <w:spacing w:val="8"/>
          <w:sz w:val="28"/>
          <w:szCs w:val="28"/>
        </w:rPr>
        <w:t>costante,</w:t>
      </w:r>
      <w:r w:rsidR="00AA190B" w:rsidRPr="008F0DD9">
        <w:rPr>
          <w:rStyle w:val="CharacterStyle4"/>
          <w:rFonts w:ascii="Calibri" w:hAnsi="Calibri" w:cs="Times New Roman"/>
          <w:spacing w:val="8"/>
          <w:sz w:val="28"/>
          <w:szCs w:val="28"/>
        </w:rPr>
        <w:t xml:space="preserve"> che</w:t>
      </w:r>
      <w:r>
        <w:rPr>
          <w:rStyle w:val="CharacterStyle4"/>
          <w:rFonts w:ascii="Calibri" w:hAnsi="Calibri" w:cs="Times New Roman"/>
          <w:spacing w:val="8"/>
          <w:sz w:val="28"/>
          <w:szCs w:val="28"/>
        </w:rPr>
        <w:t>,</w:t>
      </w:r>
      <w:r w:rsidR="00AA190B" w:rsidRPr="008F0DD9">
        <w:rPr>
          <w:rStyle w:val="CharacterStyle4"/>
          <w:rFonts w:ascii="Calibri" w:hAnsi="Calibri" w:cs="Times New Roman"/>
          <w:spacing w:val="8"/>
          <w:sz w:val="28"/>
          <w:szCs w:val="28"/>
        </w:rPr>
        <w:t xml:space="preserve"> in materia tributaria, gli elementi raccolti a carico del contribuente dai militari della Guardia di Finanza senza il rispetto delle formalità di garanzia difensiva prescritte per il procedimento penale, non sono inutilizzabili nel procedimento di accertamento fiscale, stante l'autonomia del procedimento penale rispetto a quello di accertamento tributario, secondo un principio che, oltre ad essere sancito dalle norme sui reati tributari (art. 12 del </w:t>
      </w:r>
      <w:r w:rsidR="00924232" w:rsidRPr="008F0DD9">
        <w:rPr>
          <w:rStyle w:val="CharacterStyle4"/>
          <w:rFonts w:ascii="Calibri" w:hAnsi="Calibri" w:cs="Times New Roman"/>
          <w:spacing w:val="8"/>
          <w:sz w:val="28"/>
          <w:szCs w:val="28"/>
        </w:rPr>
        <w:t>D.L.</w:t>
      </w:r>
      <w:r w:rsidR="00AA190B" w:rsidRPr="008F0DD9">
        <w:rPr>
          <w:rStyle w:val="CharacterStyle4"/>
          <w:rFonts w:ascii="Calibri" w:hAnsi="Calibri" w:cs="Times New Roman"/>
          <w:spacing w:val="8"/>
          <w:sz w:val="28"/>
          <w:szCs w:val="28"/>
        </w:rPr>
        <w:t xml:space="preserve"> 10 luglio 1982, n. 429 successivamente confermato dall'art. 20 del d.lgs. 10 marzo 2000, n. 74), è desumibile anche dalle disposizioni generali dettate dagli artt. 2 e 654 cod. proc. </w:t>
      </w:r>
      <w:proofErr w:type="spellStart"/>
      <w:r w:rsidR="00AA190B" w:rsidRPr="008F0DD9">
        <w:rPr>
          <w:rStyle w:val="CharacterStyle4"/>
          <w:rFonts w:ascii="Calibri" w:hAnsi="Calibri" w:cs="Times New Roman"/>
          <w:spacing w:val="8"/>
          <w:sz w:val="28"/>
          <w:szCs w:val="28"/>
        </w:rPr>
        <w:t>pen</w:t>
      </w:r>
      <w:proofErr w:type="spellEnd"/>
      <w:r w:rsidR="00AA190B" w:rsidRPr="008F0DD9">
        <w:rPr>
          <w:rStyle w:val="CharacterStyle4"/>
          <w:rFonts w:ascii="Calibri" w:hAnsi="Calibri" w:cs="Times New Roman"/>
          <w:spacing w:val="8"/>
          <w:sz w:val="28"/>
          <w:szCs w:val="28"/>
        </w:rPr>
        <w:t xml:space="preserve">. ed è espressamente previsto dall'art. 220 </w:t>
      </w:r>
      <w:proofErr w:type="spellStart"/>
      <w:r w:rsidR="00AA190B" w:rsidRPr="008F0DD9">
        <w:rPr>
          <w:rStyle w:val="CharacterStyle4"/>
          <w:rFonts w:ascii="Calibri" w:hAnsi="Calibri" w:cs="Times New Roman"/>
          <w:spacing w:val="8"/>
          <w:sz w:val="28"/>
          <w:szCs w:val="28"/>
        </w:rPr>
        <w:t>disp</w:t>
      </w:r>
      <w:proofErr w:type="spellEnd"/>
      <w:r w:rsidR="00AA190B" w:rsidRPr="008F0DD9">
        <w:rPr>
          <w:rStyle w:val="CharacterStyle4"/>
          <w:rFonts w:ascii="Calibri" w:hAnsi="Calibri" w:cs="Times New Roman"/>
          <w:spacing w:val="8"/>
          <w:sz w:val="28"/>
          <w:szCs w:val="28"/>
        </w:rPr>
        <w:t xml:space="preserve">. </w:t>
      </w:r>
      <w:proofErr w:type="spellStart"/>
      <w:r w:rsidR="00AA190B" w:rsidRPr="008F0DD9">
        <w:rPr>
          <w:rStyle w:val="CharacterStyle4"/>
          <w:rFonts w:ascii="Calibri" w:hAnsi="Calibri" w:cs="Times New Roman"/>
          <w:spacing w:val="8"/>
          <w:sz w:val="28"/>
          <w:szCs w:val="28"/>
        </w:rPr>
        <w:t>att</w:t>
      </w:r>
      <w:proofErr w:type="spellEnd"/>
      <w:r w:rsidR="00AA190B" w:rsidRPr="008F0DD9">
        <w:rPr>
          <w:rStyle w:val="CharacterStyle4"/>
          <w:rFonts w:ascii="Calibri" w:hAnsi="Calibri" w:cs="Times New Roman"/>
          <w:spacing w:val="8"/>
          <w:sz w:val="28"/>
          <w:szCs w:val="28"/>
        </w:rPr>
        <w:t xml:space="preserve">. cod. proc. </w:t>
      </w:r>
      <w:proofErr w:type="spellStart"/>
      <w:r w:rsidR="00AA190B" w:rsidRPr="008F0DD9">
        <w:rPr>
          <w:rStyle w:val="CharacterStyle4"/>
          <w:rFonts w:ascii="Calibri" w:hAnsi="Calibri" w:cs="Times New Roman"/>
          <w:spacing w:val="8"/>
          <w:sz w:val="28"/>
          <w:szCs w:val="28"/>
        </w:rPr>
        <w:t>pen</w:t>
      </w:r>
      <w:proofErr w:type="spellEnd"/>
      <w:r w:rsidR="00AA190B" w:rsidRPr="008F0DD9">
        <w:rPr>
          <w:rStyle w:val="CharacterStyle4"/>
          <w:rFonts w:ascii="Calibri" w:hAnsi="Calibri" w:cs="Times New Roman"/>
          <w:spacing w:val="8"/>
          <w:sz w:val="28"/>
          <w:szCs w:val="28"/>
        </w:rPr>
        <w:t>., che impone l'obbligo del rispetto delle disposizioni del codice di procedura penale, quando nel corso di attività ispettive emergano indizi di reato, ma soltanto ai fini della «applicazione della legge penale» (v. Cass. 12/11/2010, n. 22984).</w:t>
      </w:r>
    </w:p>
    <w:p w:rsidR="00AA190B" w:rsidRPr="00311DF3" w:rsidRDefault="00AA190B" w:rsidP="00304981">
      <w:pPr>
        <w:pStyle w:val="Style13"/>
        <w:kinsoku w:val="0"/>
        <w:spacing w:before="0" w:after="0" w:line="360" w:lineRule="auto"/>
        <w:ind w:left="0" w:firstLine="0"/>
        <w:rPr>
          <w:rStyle w:val="CharacterStyle4"/>
          <w:rFonts w:ascii="Calibri" w:hAnsi="Calibri" w:cs="Times New Roman"/>
          <w:b/>
          <w:spacing w:val="8"/>
          <w:sz w:val="28"/>
          <w:szCs w:val="28"/>
        </w:rPr>
      </w:pPr>
      <w:r w:rsidRPr="00311DF3">
        <w:rPr>
          <w:rStyle w:val="CharacterStyle4"/>
          <w:rFonts w:ascii="Calibri" w:hAnsi="Calibri" w:cs="Times New Roman"/>
          <w:b/>
          <w:spacing w:val="8"/>
          <w:sz w:val="28"/>
          <w:szCs w:val="28"/>
        </w:rPr>
        <w:t>In</w:t>
      </w:r>
      <w:r w:rsidR="00924232" w:rsidRPr="00311DF3">
        <w:rPr>
          <w:rStyle w:val="CharacterStyle4"/>
          <w:rFonts w:ascii="Calibri" w:hAnsi="Calibri" w:cs="Times New Roman"/>
          <w:b/>
          <w:spacing w:val="8"/>
          <w:sz w:val="28"/>
          <w:szCs w:val="28"/>
        </w:rPr>
        <w:t xml:space="preserve"> </w:t>
      </w:r>
      <w:r w:rsidRPr="00311DF3">
        <w:rPr>
          <w:rStyle w:val="CharacterStyle4"/>
          <w:rFonts w:ascii="Calibri" w:hAnsi="Calibri" w:cs="Times New Roman"/>
          <w:b/>
          <w:spacing w:val="8"/>
          <w:sz w:val="28"/>
          <w:szCs w:val="28"/>
        </w:rPr>
        <w:t>materia</w:t>
      </w:r>
      <w:r w:rsidR="00924232" w:rsidRPr="00311DF3">
        <w:rPr>
          <w:rStyle w:val="CharacterStyle4"/>
          <w:rFonts w:ascii="Calibri" w:hAnsi="Calibri" w:cs="Times New Roman"/>
          <w:b/>
          <w:spacing w:val="8"/>
          <w:sz w:val="28"/>
          <w:szCs w:val="28"/>
        </w:rPr>
        <w:t xml:space="preserve"> </w:t>
      </w:r>
      <w:r w:rsidRPr="00311DF3">
        <w:rPr>
          <w:rStyle w:val="CharacterStyle4"/>
          <w:rFonts w:ascii="Calibri" w:hAnsi="Calibri" w:cs="Times New Roman"/>
          <w:b/>
          <w:spacing w:val="8"/>
          <w:sz w:val="28"/>
          <w:szCs w:val="28"/>
        </w:rPr>
        <w:t>tributaria,</w:t>
      </w:r>
      <w:r w:rsidR="00924232" w:rsidRPr="00311DF3">
        <w:rPr>
          <w:rStyle w:val="CharacterStyle4"/>
          <w:rFonts w:ascii="Calibri" w:hAnsi="Calibri" w:cs="Times New Roman"/>
          <w:b/>
          <w:spacing w:val="8"/>
          <w:sz w:val="28"/>
          <w:szCs w:val="28"/>
        </w:rPr>
        <w:t xml:space="preserve"> </w:t>
      </w:r>
      <w:r w:rsidRPr="00311DF3">
        <w:rPr>
          <w:rStyle w:val="CharacterStyle4"/>
          <w:rFonts w:ascii="Calibri" w:hAnsi="Calibri" w:cs="Times New Roman"/>
          <w:b/>
          <w:spacing w:val="8"/>
          <w:sz w:val="28"/>
          <w:szCs w:val="28"/>
        </w:rPr>
        <w:t>invero,</w:t>
      </w:r>
      <w:r w:rsidR="00924232" w:rsidRPr="00311DF3">
        <w:rPr>
          <w:rStyle w:val="CharacterStyle4"/>
          <w:rFonts w:ascii="Calibri" w:hAnsi="Calibri" w:cs="Times New Roman"/>
          <w:b/>
          <w:spacing w:val="8"/>
          <w:sz w:val="28"/>
          <w:szCs w:val="28"/>
        </w:rPr>
        <w:t xml:space="preserve"> </w:t>
      </w:r>
      <w:r w:rsidRPr="00311DF3">
        <w:rPr>
          <w:rStyle w:val="CharacterStyle4"/>
          <w:rFonts w:ascii="Calibri" w:hAnsi="Calibri" w:cs="Times New Roman"/>
          <w:b/>
          <w:spacing w:val="8"/>
          <w:sz w:val="28"/>
          <w:szCs w:val="28"/>
        </w:rPr>
        <w:t>non</w:t>
      </w:r>
      <w:r w:rsidR="00924232" w:rsidRPr="00311DF3">
        <w:rPr>
          <w:rStyle w:val="CharacterStyle4"/>
          <w:rFonts w:ascii="Calibri" w:hAnsi="Calibri" w:cs="Times New Roman"/>
          <w:b/>
          <w:spacing w:val="8"/>
          <w:sz w:val="28"/>
          <w:szCs w:val="28"/>
        </w:rPr>
        <w:t xml:space="preserve"> </w:t>
      </w:r>
      <w:r w:rsidRPr="00311DF3">
        <w:rPr>
          <w:rStyle w:val="CharacterStyle4"/>
          <w:rFonts w:ascii="Calibri" w:hAnsi="Calibri" w:cs="Times New Roman"/>
          <w:b/>
          <w:spacing w:val="8"/>
          <w:sz w:val="28"/>
          <w:szCs w:val="28"/>
        </w:rPr>
        <w:t>qualsiasi</w:t>
      </w:r>
      <w:r w:rsidR="00924232" w:rsidRPr="00311DF3">
        <w:rPr>
          <w:rStyle w:val="CharacterStyle4"/>
          <w:rFonts w:ascii="Calibri" w:hAnsi="Calibri" w:cs="Times New Roman"/>
          <w:b/>
          <w:spacing w:val="8"/>
          <w:sz w:val="28"/>
          <w:szCs w:val="28"/>
        </w:rPr>
        <w:t xml:space="preserve"> </w:t>
      </w:r>
      <w:r w:rsidRPr="00311DF3">
        <w:rPr>
          <w:rStyle w:val="CharacterStyle4"/>
          <w:rFonts w:ascii="Calibri" w:hAnsi="Calibri" w:cs="Times New Roman"/>
          <w:b/>
          <w:spacing w:val="8"/>
          <w:sz w:val="28"/>
          <w:szCs w:val="28"/>
        </w:rPr>
        <w:t>irritualità</w:t>
      </w:r>
      <w:r w:rsidR="00924232" w:rsidRPr="00311DF3">
        <w:rPr>
          <w:rStyle w:val="CharacterStyle4"/>
          <w:rFonts w:ascii="Calibri" w:hAnsi="Calibri" w:cs="Times New Roman"/>
          <w:b/>
          <w:spacing w:val="8"/>
          <w:sz w:val="28"/>
          <w:szCs w:val="28"/>
        </w:rPr>
        <w:t xml:space="preserve"> </w:t>
      </w:r>
      <w:r w:rsidRPr="00311DF3">
        <w:rPr>
          <w:rStyle w:val="CharacterStyle4"/>
          <w:rFonts w:ascii="Calibri" w:hAnsi="Calibri" w:cs="Times New Roman"/>
          <w:b/>
          <w:spacing w:val="8"/>
          <w:sz w:val="28"/>
          <w:szCs w:val="28"/>
        </w:rPr>
        <w:t>nell'acquisizione di elementi rilevanti ai fini dell'accertamento</w:t>
      </w:r>
      <w:r w:rsidR="00924232" w:rsidRPr="00311DF3">
        <w:rPr>
          <w:rStyle w:val="CharacterStyle4"/>
          <w:rFonts w:ascii="Calibri" w:hAnsi="Calibri" w:cs="Times New Roman"/>
          <w:b/>
          <w:spacing w:val="8"/>
          <w:sz w:val="28"/>
          <w:szCs w:val="28"/>
        </w:rPr>
        <w:t xml:space="preserve"> </w:t>
      </w:r>
      <w:r w:rsidRPr="00311DF3">
        <w:rPr>
          <w:rStyle w:val="CharacterStyle4"/>
          <w:rFonts w:ascii="Calibri" w:hAnsi="Calibri" w:cs="Times New Roman"/>
          <w:b/>
          <w:spacing w:val="8"/>
          <w:sz w:val="28"/>
          <w:szCs w:val="28"/>
        </w:rPr>
        <w:t>comporta, di per sé, l'inutilizzabilità degli stessi, in mancanza di una</w:t>
      </w:r>
      <w:r w:rsidR="00924232" w:rsidRPr="00311DF3">
        <w:rPr>
          <w:rStyle w:val="CharacterStyle4"/>
          <w:rFonts w:ascii="Calibri" w:hAnsi="Calibri" w:cs="Times New Roman"/>
          <w:b/>
          <w:spacing w:val="8"/>
          <w:sz w:val="28"/>
          <w:szCs w:val="28"/>
        </w:rPr>
        <w:t xml:space="preserve"> </w:t>
      </w:r>
      <w:r w:rsidRPr="00311DF3">
        <w:rPr>
          <w:rStyle w:val="CharacterStyle4"/>
          <w:rFonts w:ascii="Calibri" w:hAnsi="Calibri" w:cs="Times New Roman"/>
          <w:b/>
          <w:spacing w:val="8"/>
          <w:sz w:val="28"/>
          <w:szCs w:val="28"/>
        </w:rPr>
        <w:t>specifica previsione in tal senso, esclusi i casi in cui viene in discussione la tutela di diritti fondamentali di rango costituzionale, come l'inviolabilità della libertà personale o del domicilio (Cass. 16/12/2011, n. 27149)</w:t>
      </w:r>
      <w:r w:rsidR="00E1047F" w:rsidRPr="00311DF3">
        <w:rPr>
          <w:rStyle w:val="CharacterStyle4"/>
          <w:rFonts w:ascii="Calibri" w:hAnsi="Calibri" w:cs="Times New Roman"/>
          <w:b/>
          <w:spacing w:val="8"/>
          <w:sz w:val="28"/>
          <w:szCs w:val="28"/>
        </w:rPr>
        <w:t>, ai sensi degli artt. 13 e 14 della Costituzione.</w:t>
      </w:r>
    </w:p>
    <w:p w:rsidR="00025830" w:rsidRPr="008F0DD9" w:rsidRDefault="002E2D0C" w:rsidP="00304981">
      <w:pPr>
        <w:spacing w:after="0" w:line="360" w:lineRule="auto"/>
        <w:jc w:val="both"/>
        <w:rPr>
          <w:rFonts w:ascii="Calibri" w:hAnsi="Calibri" w:cs="Times New Roman"/>
          <w:b/>
          <w:sz w:val="28"/>
          <w:szCs w:val="28"/>
        </w:rPr>
      </w:pPr>
      <w:proofErr w:type="gramStart"/>
      <w:r w:rsidRPr="008F0DD9">
        <w:rPr>
          <w:rFonts w:ascii="Calibri" w:hAnsi="Calibri" w:cs="Times New Roman"/>
          <w:b/>
          <w:sz w:val="28"/>
          <w:szCs w:val="28"/>
        </w:rPr>
        <w:t xml:space="preserve">Lecce,   </w:t>
      </w:r>
      <w:proofErr w:type="gramEnd"/>
      <w:r w:rsidRPr="008F0DD9">
        <w:rPr>
          <w:rFonts w:ascii="Calibri" w:hAnsi="Calibri" w:cs="Times New Roman"/>
          <w:b/>
          <w:sz w:val="28"/>
          <w:szCs w:val="28"/>
        </w:rPr>
        <w:t xml:space="preserve">  </w:t>
      </w:r>
      <w:r w:rsidR="00E1047F">
        <w:rPr>
          <w:rFonts w:ascii="Calibri" w:hAnsi="Calibri" w:cs="Times New Roman"/>
          <w:b/>
          <w:sz w:val="28"/>
          <w:szCs w:val="28"/>
        </w:rPr>
        <w:t>24 marzo</w:t>
      </w:r>
      <w:r w:rsidRPr="008F0DD9">
        <w:rPr>
          <w:rFonts w:ascii="Calibri" w:hAnsi="Calibri" w:cs="Times New Roman"/>
          <w:b/>
          <w:sz w:val="28"/>
          <w:szCs w:val="28"/>
        </w:rPr>
        <w:t xml:space="preserve">    201</w:t>
      </w:r>
      <w:r w:rsidR="00162910">
        <w:rPr>
          <w:rFonts w:ascii="Calibri" w:hAnsi="Calibri" w:cs="Times New Roman"/>
          <w:b/>
          <w:sz w:val="28"/>
          <w:szCs w:val="28"/>
        </w:rPr>
        <w:t>8</w:t>
      </w:r>
    </w:p>
    <w:p w:rsidR="002E2D0C" w:rsidRPr="008F0DD9" w:rsidRDefault="002E2D0C" w:rsidP="00304981">
      <w:pPr>
        <w:spacing w:after="0" w:line="360" w:lineRule="auto"/>
        <w:jc w:val="center"/>
        <w:rPr>
          <w:rFonts w:ascii="Calibri" w:hAnsi="Calibri" w:cs="Times New Roman"/>
          <w:b/>
          <w:bCs/>
          <w:sz w:val="28"/>
          <w:szCs w:val="28"/>
        </w:rPr>
      </w:pPr>
      <w:r w:rsidRPr="008F0DD9">
        <w:rPr>
          <w:rFonts w:ascii="Calibri" w:hAnsi="Calibri" w:cs="Times New Roman"/>
          <w:b/>
          <w:bCs/>
          <w:sz w:val="28"/>
          <w:szCs w:val="28"/>
        </w:rPr>
        <w:t>AVV. MAURIZIO VILLANI</w:t>
      </w:r>
    </w:p>
    <w:p w:rsidR="002E2D0C" w:rsidRPr="008F0DD9" w:rsidRDefault="002E2D0C" w:rsidP="00304981">
      <w:pPr>
        <w:spacing w:after="0" w:line="360" w:lineRule="auto"/>
        <w:jc w:val="center"/>
        <w:rPr>
          <w:rFonts w:ascii="Calibri" w:hAnsi="Calibri" w:cs="Times New Roman"/>
          <w:b/>
          <w:bCs/>
          <w:sz w:val="28"/>
          <w:szCs w:val="28"/>
        </w:rPr>
      </w:pPr>
      <w:r w:rsidRPr="008F0DD9">
        <w:rPr>
          <w:rFonts w:ascii="Calibri" w:hAnsi="Calibri" w:cs="Times New Roman"/>
          <w:b/>
          <w:bCs/>
          <w:sz w:val="28"/>
          <w:szCs w:val="28"/>
        </w:rPr>
        <w:t>Avvocato Tributarista in Lecce</w:t>
      </w:r>
    </w:p>
    <w:p w:rsidR="002E2D0C" w:rsidRPr="008F0DD9" w:rsidRDefault="002E2D0C" w:rsidP="00304981">
      <w:pPr>
        <w:spacing w:after="0" w:line="360" w:lineRule="auto"/>
        <w:jc w:val="center"/>
        <w:rPr>
          <w:rFonts w:ascii="Calibri" w:hAnsi="Calibri" w:cs="Times New Roman"/>
          <w:b/>
          <w:sz w:val="28"/>
          <w:szCs w:val="28"/>
        </w:rPr>
      </w:pPr>
      <w:r w:rsidRPr="008F0DD9">
        <w:rPr>
          <w:rFonts w:ascii="Calibri" w:hAnsi="Calibri" w:cs="Times New Roman"/>
          <w:b/>
          <w:sz w:val="28"/>
          <w:szCs w:val="28"/>
        </w:rPr>
        <w:t>Patrocinante in Cassazione</w:t>
      </w:r>
    </w:p>
    <w:p w:rsidR="002E2D0C" w:rsidRPr="008F0DD9" w:rsidRDefault="002F7AE9" w:rsidP="00304981">
      <w:pPr>
        <w:spacing w:after="0" w:line="360" w:lineRule="auto"/>
        <w:jc w:val="center"/>
        <w:rPr>
          <w:rFonts w:ascii="Calibri" w:hAnsi="Calibri" w:cs="Times New Roman"/>
          <w:b/>
          <w:bCs/>
          <w:sz w:val="28"/>
          <w:szCs w:val="28"/>
        </w:rPr>
      </w:pPr>
      <w:hyperlink r:id="rId7" w:history="1">
        <w:r w:rsidR="002E2D0C" w:rsidRPr="008F0DD9">
          <w:rPr>
            <w:rStyle w:val="Collegamentoipertestuale"/>
            <w:rFonts w:ascii="Calibri" w:hAnsi="Calibri" w:cs="Times New Roman"/>
            <w:sz w:val="28"/>
            <w:szCs w:val="28"/>
          </w:rPr>
          <w:t>www.studiotributariovillani.it</w:t>
        </w:r>
      </w:hyperlink>
      <w:r w:rsidR="002E2D0C" w:rsidRPr="008F0DD9">
        <w:rPr>
          <w:rFonts w:ascii="Calibri" w:hAnsi="Calibri" w:cs="Times New Roman"/>
          <w:b/>
          <w:bCs/>
          <w:sz w:val="28"/>
          <w:szCs w:val="28"/>
        </w:rPr>
        <w:t xml:space="preserve"> - e-mail </w:t>
      </w:r>
      <w:hyperlink r:id="rId8" w:history="1">
        <w:r w:rsidR="002E2D0C" w:rsidRPr="008F0DD9">
          <w:rPr>
            <w:rStyle w:val="Collegamentoipertestuale"/>
            <w:rFonts w:ascii="Calibri" w:hAnsi="Calibri" w:cs="Times New Roman"/>
            <w:sz w:val="28"/>
            <w:szCs w:val="28"/>
          </w:rPr>
          <w:t>avvocato@studiotributariovillani.it</w:t>
        </w:r>
      </w:hyperlink>
    </w:p>
    <w:sectPr w:rsidR="002E2D0C" w:rsidRPr="008F0DD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AE9" w:rsidRDefault="002F7AE9" w:rsidP="00AA190B">
      <w:pPr>
        <w:spacing w:after="0" w:line="240" w:lineRule="auto"/>
      </w:pPr>
      <w:r>
        <w:separator/>
      </w:r>
    </w:p>
  </w:endnote>
  <w:endnote w:type="continuationSeparator" w:id="0">
    <w:p w:rsidR="002F7AE9" w:rsidRDefault="002F7AE9" w:rsidP="00AA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299605"/>
      <w:docPartObj>
        <w:docPartGallery w:val="Page Numbers (Bottom of Page)"/>
        <w:docPartUnique/>
      </w:docPartObj>
    </w:sdtPr>
    <w:sdtEndPr/>
    <w:sdtContent>
      <w:p w:rsidR="00AA190B" w:rsidRDefault="00AA190B">
        <w:pPr>
          <w:pStyle w:val="Pidipagina"/>
          <w:jc w:val="right"/>
        </w:pPr>
        <w:r>
          <w:fldChar w:fldCharType="begin"/>
        </w:r>
        <w:r>
          <w:instrText>PAGE   \* MERGEFORMAT</w:instrText>
        </w:r>
        <w:r>
          <w:fldChar w:fldCharType="separate"/>
        </w:r>
        <w:r w:rsidR="008C7309">
          <w:rPr>
            <w:noProof/>
          </w:rPr>
          <w:t>6</w:t>
        </w:r>
        <w:r>
          <w:fldChar w:fldCharType="end"/>
        </w:r>
      </w:p>
    </w:sdtContent>
  </w:sdt>
  <w:p w:rsidR="00AA190B" w:rsidRDefault="00AA19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AE9" w:rsidRDefault="002F7AE9" w:rsidP="00AA190B">
      <w:pPr>
        <w:spacing w:after="0" w:line="240" w:lineRule="auto"/>
      </w:pPr>
      <w:r>
        <w:separator/>
      </w:r>
    </w:p>
  </w:footnote>
  <w:footnote w:type="continuationSeparator" w:id="0">
    <w:p w:rsidR="002F7AE9" w:rsidRDefault="002F7AE9" w:rsidP="00AA1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627A"/>
    <w:multiLevelType w:val="singleLevel"/>
    <w:tmpl w:val="703258AA"/>
    <w:lvl w:ilvl="0">
      <w:start w:val="3"/>
      <w:numFmt w:val="decimal"/>
      <w:lvlText w:val="%1."/>
      <w:lvlJc w:val="left"/>
      <w:pPr>
        <w:tabs>
          <w:tab w:val="num" w:pos="360"/>
        </w:tabs>
        <w:ind w:left="72" w:firstLine="504"/>
      </w:pPr>
      <w:rPr>
        <w:rFonts w:ascii="Verdana" w:hAnsi="Verdana" w:cs="Verdana"/>
        <w:snapToGrid/>
        <w:spacing w:val="7"/>
        <w:sz w:val="23"/>
        <w:szCs w:val="23"/>
      </w:rPr>
    </w:lvl>
  </w:abstractNum>
  <w:abstractNum w:abstractNumId="1" w15:restartNumberingAfterBreak="0">
    <w:nsid w:val="0D7C0115"/>
    <w:multiLevelType w:val="hybridMultilevel"/>
    <w:tmpl w:val="484E2A56"/>
    <w:lvl w:ilvl="0" w:tplc="A9E2E7CE">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0F007B"/>
    <w:multiLevelType w:val="hybridMultilevel"/>
    <w:tmpl w:val="BF9AF92A"/>
    <w:lvl w:ilvl="0" w:tplc="F1525DBE">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3F78DE"/>
    <w:multiLevelType w:val="hybridMultilevel"/>
    <w:tmpl w:val="612648B0"/>
    <w:lvl w:ilvl="0" w:tplc="F1525DBE">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lvl w:ilvl="0">
        <w:numFmt w:val="decimal"/>
        <w:lvlText w:val="%1."/>
        <w:lvlJc w:val="left"/>
        <w:pPr>
          <w:tabs>
            <w:tab w:val="num" w:pos="360"/>
          </w:tabs>
          <w:ind w:left="72" w:firstLine="504"/>
        </w:pPr>
        <w:rPr>
          <w:rFonts w:ascii="Verdana" w:hAnsi="Verdana" w:cs="Verdana"/>
          <w:snapToGrid/>
          <w:spacing w:val="8"/>
          <w:sz w:val="22"/>
          <w:szCs w:val="22"/>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0B"/>
    <w:rsid w:val="00025830"/>
    <w:rsid w:val="00085216"/>
    <w:rsid w:val="000F7628"/>
    <w:rsid w:val="00125250"/>
    <w:rsid w:val="00162910"/>
    <w:rsid w:val="002E2D0C"/>
    <w:rsid w:val="002F7AE9"/>
    <w:rsid w:val="00302419"/>
    <w:rsid w:val="00304981"/>
    <w:rsid w:val="00311DF3"/>
    <w:rsid w:val="00541DAF"/>
    <w:rsid w:val="005F3E6B"/>
    <w:rsid w:val="0062354D"/>
    <w:rsid w:val="007B53A9"/>
    <w:rsid w:val="007F553F"/>
    <w:rsid w:val="008174D5"/>
    <w:rsid w:val="00833516"/>
    <w:rsid w:val="008A7A21"/>
    <w:rsid w:val="008B1407"/>
    <w:rsid w:val="008C7309"/>
    <w:rsid w:val="008F0DD9"/>
    <w:rsid w:val="00924232"/>
    <w:rsid w:val="00A13444"/>
    <w:rsid w:val="00A97F71"/>
    <w:rsid w:val="00AA190B"/>
    <w:rsid w:val="00CC408D"/>
    <w:rsid w:val="00E1047F"/>
    <w:rsid w:val="00E71652"/>
    <w:rsid w:val="00FF5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248D0-FC50-4596-A996-68E78AA8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3">
    <w:name w:val="Style 13"/>
    <w:basedOn w:val="Normale"/>
    <w:uiPriority w:val="99"/>
    <w:rsid w:val="00AA190B"/>
    <w:pPr>
      <w:widowControl w:val="0"/>
      <w:autoSpaceDE w:val="0"/>
      <w:autoSpaceDN w:val="0"/>
      <w:spacing w:before="288" w:after="108" w:line="240" w:lineRule="auto"/>
      <w:ind w:left="72" w:firstLine="504"/>
      <w:jc w:val="both"/>
    </w:pPr>
    <w:rPr>
      <w:rFonts w:ascii="Verdana" w:eastAsiaTheme="minorEastAsia" w:hAnsi="Verdana" w:cs="Verdana"/>
      <w:lang w:eastAsia="it-IT"/>
    </w:rPr>
  </w:style>
  <w:style w:type="paragraph" w:customStyle="1" w:styleId="Style15">
    <w:name w:val="Style 15"/>
    <w:basedOn w:val="Normale"/>
    <w:uiPriority w:val="99"/>
    <w:rsid w:val="00AA190B"/>
    <w:pPr>
      <w:widowControl w:val="0"/>
      <w:autoSpaceDE w:val="0"/>
      <w:autoSpaceDN w:val="0"/>
      <w:spacing w:before="144" w:after="0" w:line="360" w:lineRule="auto"/>
      <w:ind w:right="72" w:firstLine="504"/>
      <w:jc w:val="both"/>
    </w:pPr>
    <w:rPr>
      <w:rFonts w:ascii="Verdana" w:eastAsiaTheme="minorEastAsia" w:hAnsi="Verdana" w:cs="Verdana"/>
      <w:sz w:val="23"/>
      <w:szCs w:val="23"/>
      <w:lang w:eastAsia="it-IT"/>
    </w:rPr>
  </w:style>
  <w:style w:type="paragraph" w:customStyle="1" w:styleId="Style17">
    <w:name w:val="Style 17"/>
    <w:basedOn w:val="Normale"/>
    <w:uiPriority w:val="99"/>
    <w:rsid w:val="00AA190B"/>
    <w:pPr>
      <w:widowControl w:val="0"/>
      <w:autoSpaceDE w:val="0"/>
      <w:autoSpaceDN w:val="0"/>
      <w:spacing w:after="0" w:line="360" w:lineRule="auto"/>
      <w:ind w:left="72" w:right="72" w:firstLine="432"/>
      <w:jc w:val="both"/>
    </w:pPr>
    <w:rPr>
      <w:rFonts w:ascii="Verdana" w:eastAsiaTheme="minorEastAsia" w:hAnsi="Verdana" w:cs="Verdana"/>
      <w:sz w:val="23"/>
      <w:szCs w:val="23"/>
      <w:lang w:eastAsia="it-IT"/>
    </w:rPr>
  </w:style>
  <w:style w:type="character" w:customStyle="1" w:styleId="CharacterStyle2">
    <w:name w:val="Character Style 2"/>
    <w:uiPriority w:val="99"/>
    <w:rsid w:val="00AA190B"/>
    <w:rPr>
      <w:rFonts w:ascii="Verdana" w:hAnsi="Verdana" w:cs="Verdana"/>
      <w:sz w:val="23"/>
      <w:szCs w:val="23"/>
    </w:rPr>
  </w:style>
  <w:style w:type="character" w:customStyle="1" w:styleId="CharacterStyle4">
    <w:name w:val="Character Style 4"/>
    <w:uiPriority w:val="99"/>
    <w:rsid w:val="00AA190B"/>
    <w:rPr>
      <w:rFonts w:ascii="Verdana" w:hAnsi="Verdana" w:cs="Verdana"/>
      <w:sz w:val="22"/>
      <w:szCs w:val="22"/>
    </w:rPr>
  </w:style>
  <w:style w:type="paragraph" w:styleId="Intestazione">
    <w:name w:val="header"/>
    <w:basedOn w:val="Normale"/>
    <w:link w:val="IntestazioneCarattere"/>
    <w:uiPriority w:val="99"/>
    <w:unhideWhenUsed/>
    <w:rsid w:val="00AA19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190B"/>
  </w:style>
  <w:style w:type="paragraph" w:styleId="Pidipagina">
    <w:name w:val="footer"/>
    <w:basedOn w:val="Normale"/>
    <w:link w:val="PidipaginaCarattere"/>
    <w:uiPriority w:val="99"/>
    <w:unhideWhenUsed/>
    <w:rsid w:val="00AA19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90B"/>
  </w:style>
  <w:style w:type="paragraph" w:styleId="Paragrafoelenco">
    <w:name w:val="List Paragraph"/>
    <w:basedOn w:val="Normale"/>
    <w:uiPriority w:val="34"/>
    <w:qFormat/>
    <w:rsid w:val="008A7A21"/>
    <w:pPr>
      <w:ind w:left="720"/>
      <w:contextualSpacing/>
    </w:pPr>
  </w:style>
  <w:style w:type="character" w:styleId="Collegamentoipertestuale">
    <w:name w:val="Hyperlink"/>
    <w:basedOn w:val="Carpredefinitoparagrafo"/>
    <w:uiPriority w:val="99"/>
    <w:unhideWhenUsed/>
    <w:rsid w:val="002E2D0C"/>
    <w:rPr>
      <w:color w:val="0563C1" w:themeColor="hyperlink"/>
      <w:u w:val="single"/>
    </w:rPr>
  </w:style>
  <w:style w:type="character" w:styleId="Menzionenonrisolta">
    <w:name w:val="Unresolved Mention"/>
    <w:basedOn w:val="Carpredefinitoparagrafo"/>
    <w:uiPriority w:val="99"/>
    <w:semiHidden/>
    <w:unhideWhenUsed/>
    <w:rsid w:val="002E2D0C"/>
    <w:rPr>
      <w:color w:val="808080"/>
      <w:shd w:val="clear" w:color="auto" w:fill="E6E6E6"/>
    </w:rPr>
  </w:style>
  <w:style w:type="paragraph" w:styleId="Testofumetto">
    <w:name w:val="Balloon Text"/>
    <w:basedOn w:val="Normale"/>
    <w:link w:val="TestofumettoCarattere"/>
    <w:uiPriority w:val="99"/>
    <w:semiHidden/>
    <w:unhideWhenUsed/>
    <w:rsid w:val="008B14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2018-03-24T08:32:00Z</cp:lastPrinted>
  <dcterms:created xsi:type="dcterms:W3CDTF">2018-03-26T07:03:00Z</dcterms:created>
  <dcterms:modified xsi:type="dcterms:W3CDTF">2018-03-26T07:03:00Z</dcterms:modified>
</cp:coreProperties>
</file>