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19B2" w:rsidRPr="00D439D4" w:rsidRDefault="00F219B2" w:rsidP="00F219B2">
      <w:pPr>
        <w:spacing w:after="0" w:line="360" w:lineRule="auto"/>
        <w:jc w:val="center"/>
        <w:rPr>
          <w:b/>
          <w:sz w:val="36"/>
          <w:szCs w:val="36"/>
        </w:rPr>
      </w:pPr>
      <w:bookmarkStart w:id="0" w:name="_GoBack"/>
      <w:bookmarkEnd w:id="0"/>
      <w:r w:rsidRPr="00D439D4">
        <w:rPr>
          <w:b/>
          <w:sz w:val="36"/>
          <w:szCs w:val="36"/>
        </w:rPr>
        <w:t>NOTIFICA DIRETTA DELLE CARTELLE ESATTORIALI</w:t>
      </w:r>
    </w:p>
    <w:p w:rsidR="00F219B2" w:rsidRPr="0004437E" w:rsidRDefault="00F219B2" w:rsidP="00F219B2">
      <w:pPr>
        <w:spacing w:after="0" w:line="360" w:lineRule="auto"/>
        <w:jc w:val="center"/>
        <w:rPr>
          <w:b/>
          <w:sz w:val="40"/>
          <w:szCs w:val="40"/>
        </w:rPr>
      </w:pPr>
      <w:r w:rsidRPr="0004437E">
        <w:rPr>
          <w:b/>
          <w:sz w:val="40"/>
          <w:szCs w:val="40"/>
        </w:rPr>
        <w:t>LA CORTE COSTITUZIONALE DECIDE IL 20 GIUGNO 2018</w:t>
      </w:r>
    </w:p>
    <w:p w:rsidR="00F219B2" w:rsidRDefault="00F219B2" w:rsidP="00F219B2">
      <w:pPr>
        <w:spacing w:after="0" w:line="360" w:lineRule="auto"/>
        <w:jc w:val="center"/>
        <w:rPr>
          <w:b/>
          <w:sz w:val="32"/>
          <w:szCs w:val="28"/>
        </w:rPr>
      </w:pPr>
    </w:p>
    <w:p w:rsidR="008F3AC2" w:rsidRDefault="008F3AC2" w:rsidP="008F3AC2">
      <w:pPr>
        <w:spacing w:after="0" w:line="360" w:lineRule="auto"/>
        <w:jc w:val="both"/>
        <w:rPr>
          <w:b/>
          <w:sz w:val="28"/>
          <w:szCs w:val="28"/>
        </w:rPr>
      </w:pPr>
      <w:r w:rsidRPr="00AE3DCC">
        <w:rPr>
          <w:b/>
          <w:sz w:val="28"/>
          <w:szCs w:val="28"/>
        </w:rPr>
        <w:t>La Corte Costituzionale mercoledì 20 giugno 2018 in pubblica udienza (</w:t>
      </w:r>
      <w:r w:rsidR="00706D98">
        <w:rPr>
          <w:b/>
          <w:sz w:val="28"/>
          <w:szCs w:val="28"/>
        </w:rPr>
        <w:t>R</w:t>
      </w:r>
      <w:r w:rsidRPr="00AE3DCC">
        <w:rPr>
          <w:b/>
          <w:sz w:val="28"/>
          <w:szCs w:val="28"/>
        </w:rPr>
        <w:t xml:space="preserve">elatore Amoroso) decide sulle eccezioni di incostituzionalità sollevate con l’ordinanza n. 59 del 22/11/2016 della Commissione Tributaria Regionale di Milano – Sez. Settima – (in G. U. n. 18 del 03/05/2017) </w:t>
      </w:r>
      <w:r w:rsidR="00346023" w:rsidRPr="00AE3DCC">
        <w:rPr>
          <w:b/>
          <w:sz w:val="28"/>
          <w:szCs w:val="28"/>
        </w:rPr>
        <w:t xml:space="preserve">che, in relazione agli articoli 3, comma 1, 24, commi 1 e 2, e 111, commi 1 e 2, della Costituzione ha sollevato questione di incostituzionalità dell’art. 26, comma 1, del </w:t>
      </w:r>
      <w:r w:rsidR="00A12D3A" w:rsidRPr="00AE3DCC">
        <w:rPr>
          <w:b/>
          <w:sz w:val="28"/>
          <w:szCs w:val="28"/>
        </w:rPr>
        <w:t>DPR n. 602 del 73 nella parte in cui abilita il concessionario della riscossione alla notificazione diretta, senza intermediario, mediante invio di raccomandata con avviso di ricevimento, della cartella di pagamento e nella parte in cui non prevede che la notifica di cartella di pagamento tramite il servizio  postale avvenga con l’osservanza dell’art. 7 della legge n. 890/1982, così come modificato con la legge n. 31 del 2008 di conversione del decreto legge n. 248/2007.</w:t>
      </w:r>
    </w:p>
    <w:p w:rsidR="00AE3DCC" w:rsidRDefault="00AE3DCC" w:rsidP="008F3AC2">
      <w:pPr>
        <w:spacing w:after="0" w:line="360" w:lineRule="auto"/>
        <w:jc w:val="both"/>
        <w:rPr>
          <w:b/>
          <w:sz w:val="28"/>
          <w:szCs w:val="28"/>
        </w:rPr>
      </w:pPr>
      <w:r w:rsidRPr="00AE3DCC">
        <w:rPr>
          <w:b/>
          <w:sz w:val="28"/>
          <w:szCs w:val="28"/>
        </w:rPr>
        <w:t>Sulla questione della illegittimità della notifica diretta delle cartelle esattoriali da parte del concessionario della riscossione rinvio ai molteplici articoli che ho scritto sull’argomento e pubblicati sul mio sito (</w:t>
      </w:r>
      <w:hyperlink r:id="rId7" w:history="1">
        <w:r w:rsidRPr="00AE3DCC">
          <w:rPr>
            <w:rStyle w:val="Collegamentoipertestuale"/>
            <w:b/>
            <w:sz w:val="28"/>
            <w:szCs w:val="28"/>
          </w:rPr>
          <w:t>www.studiotributariovillani.it</w:t>
        </w:r>
      </w:hyperlink>
      <w:r w:rsidRPr="00AE3DCC">
        <w:rPr>
          <w:b/>
          <w:sz w:val="28"/>
          <w:szCs w:val="28"/>
        </w:rPr>
        <w:t xml:space="preserve">). </w:t>
      </w:r>
    </w:p>
    <w:p w:rsidR="00AE3DCC" w:rsidRPr="00AE3DCC" w:rsidRDefault="00AE3DCC" w:rsidP="008F3AC2">
      <w:pPr>
        <w:spacing w:after="0" w:line="360" w:lineRule="auto"/>
        <w:jc w:val="both"/>
        <w:rPr>
          <w:sz w:val="28"/>
          <w:szCs w:val="28"/>
        </w:rPr>
      </w:pPr>
      <w:r>
        <w:rPr>
          <w:sz w:val="28"/>
          <w:szCs w:val="28"/>
        </w:rPr>
        <w:t>Per comprendere l’importanza della condivisibile ordinanza della CTR di Milano (</w:t>
      </w:r>
      <w:proofErr w:type="spellStart"/>
      <w:r>
        <w:rPr>
          <w:sz w:val="28"/>
          <w:szCs w:val="28"/>
        </w:rPr>
        <w:t>Pres</w:t>
      </w:r>
      <w:proofErr w:type="spellEnd"/>
      <w:r>
        <w:rPr>
          <w:sz w:val="28"/>
          <w:szCs w:val="28"/>
        </w:rPr>
        <w:t xml:space="preserve">. e </w:t>
      </w:r>
      <w:proofErr w:type="spellStart"/>
      <w:r>
        <w:rPr>
          <w:sz w:val="28"/>
          <w:szCs w:val="28"/>
        </w:rPr>
        <w:t>Rel</w:t>
      </w:r>
      <w:proofErr w:type="spellEnd"/>
      <w:r>
        <w:rPr>
          <w:sz w:val="28"/>
          <w:szCs w:val="28"/>
        </w:rPr>
        <w:t>. Dott. Punzo Roberto), riporto integralmente i passi principali.</w:t>
      </w:r>
    </w:p>
    <w:p w:rsidR="00E80F1E" w:rsidRPr="002452EC" w:rsidRDefault="008F3AC2" w:rsidP="00E80F1E">
      <w:pPr>
        <w:spacing w:after="0" w:line="360" w:lineRule="auto"/>
        <w:jc w:val="both"/>
        <w:rPr>
          <w:b/>
          <w:sz w:val="28"/>
          <w:szCs w:val="28"/>
        </w:rPr>
      </w:pPr>
      <w:r>
        <w:rPr>
          <w:sz w:val="28"/>
          <w:szCs w:val="28"/>
        </w:rPr>
        <w:t>“</w:t>
      </w:r>
      <w:r w:rsidR="00E80F1E" w:rsidRPr="00E80F1E">
        <w:rPr>
          <w:sz w:val="28"/>
          <w:szCs w:val="28"/>
        </w:rPr>
        <w:t xml:space="preserve">A fronte di questo massiccio, univoco e ormai pluriennale orientamento giurisprudenziale della Corte di </w:t>
      </w:r>
      <w:r w:rsidR="0098284F">
        <w:rPr>
          <w:sz w:val="28"/>
          <w:szCs w:val="28"/>
        </w:rPr>
        <w:t>C</w:t>
      </w:r>
      <w:r w:rsidR="00E80F1E" w:rsidRPr="00E80F1E">
        <w:rPr>
          <w:sz w:val="28"/>
          <w:szCs w:val="28"/>
        </w:rPr>
        <w:t xml:space="preserve">assazione, </w:t>
      </w:r>
      <w:r w:rsidR="00E80F1E" w:rsidRPr="002452EC">
        <w:rPr>
          <w:b/>
          <w:sz w:val="28"/>
          <w:szCs w:val="28"/>
        </w:rPr>
        <w:t>(anche con riferimento alla portata delle modifiche legislative al testo originario),</w:t>
      </w:r>
      <w:r w:rsidR="00E80F1E" w:rsidRPr="00E80F1E">
        <w:rPr>
          <w:sz w:val="28"/>
          <w:szCs w:val="28"/>
        </w:rPr>
        <w:t xml:space="preserve"> il collegio non puo' non constatare che rispetto alla normale notifica di atto emesso da P.A. in materia non tributaria, ovvero d</w:t>
      </w:r>
      <w:r w:rsidR="00911C25">
        <w:rPr>
          <w:sz w:val="28"/>
          <w:szCs w:val="28"/>
        </w:rPr>
        <w:t>i</w:t>
      </w:r>
      <w:r w:rsidR="00E80F1E" w:rsidRPr="00E80F1E">
        <w:rPr>
          <w:sz w:val="28"/>
          <w:szCs w:val="28"/>
        </w:rPr>
        <w:t xml:space="preserve"> atto civile, ovvero anche di atto tributario (quando notificato diversamente) </w:t>
      </w:r>
      <w:r w:rsidR="00E80F1E" w:rsidRPr="002452EC">
        <w:rPr>
          <w:b/>
          <w:sz w:val="28"/>
          <w:szCs w:val="28"/>
        </w:rPr>
        <w:t xml:space="preserve">questa c.d. notifica «diretta» si concretizza in una profonda destrutturazione delle normali regole in materia di notifiche, con conseguenze gravemente pregiudizievoli per </w:t>
      </w:r>
      <w:r w:rsidR="00E80F1E" w:rsidRPr="002452EC">
        <w:rPr>
          <w:b/>
          <w:sz w:val="28"/>
          <w:szCs w:val="28"/>
        </w:rPr>
        <w:lastRenderedPageBreak/>
        <w:t xml:space="preserve">soggetto destinatario di cartelle fiscali, tali da comportare uno sbilanciamento tra la posizione del notificante e quella del destinatario dell'atto della cui </w:t>
      </w:r>
      <w:r w:rsidR="0098284F" w:rsidRPr="002452EC">
        <w:rPr>
          <w:b/>
          <w:sz w:val="28"/>
          <w:szCs w:val="28"/>
        </w:rPr>
        <w:t>legittimità</w:t>
      </w:r>
      <w:r w:rsidR="00E80F1E" w:rsidRPr="002452EC">
        <w:rPr>
          <w:b/>
          <w:sz w:val="28"/>
          <w:szCs w:val="28"/>
        </w:rPr>
        <w:t xml:space="preserve"> costituzionale questo collegio fortemente dubita sotto piu' aspetti, in relazione agli articoli 3, 24 e 111 della Costituzione e alla piu' recente giurisprudenza del giudice delle leggi.</w:t>
      </w:r>
    </w:p>
    <w:p w:rsidR="00E80F1E" w:rsidRPr="00E80F1E" w:rsidRDefault="00E80F1E" w:rsidP="00E80F1E">
      <w:pPr>
        <w:spacing w:after="0" w:line="360" w:lineRule="auto"/>
        <w:jc w:val="both"/>
        <w:rPr>
          <w:sz w:val="28"/>
          <w:szCs w:val="28"/>
        </w:rPr>
      </w:pPr>
      <w:r w:rsidRPr="00E80F1E">
        <w:rPr>
          <w:sz w:val="28"/>
          <w:szCs w:val="28"/>
        </w:rPr>
        <w:t>Ad avviso del collegio, le criticit</w:t>
      </w:r>
      <w:r w:rsidR="0098284F">
        <w:rPr>
          <w:sz w:val="28"/>
          <w:szCs w:val="28"/>
        </w:rPr>
        <w:t>à</w:t>
      </w:r>
      <w:r w:rsidRPr="00E80F1E">
        <w:rPr>
          <w:sz w:val="28"/>
          <w:szCs w:val="28"/>
        </w:rPr>
        <w:t>, da un punto di vista costituzionale, sono rinvenibili soprattutto sotto i profili che di seguito si espongono.</w:t>
      </w:r>
    </w:p>
    <w:p w:rsidR="00025830" w:rsidRPr="00E80F1E" w:rsidRDefault="00E80F1E" w:rsidP="00E80F1E">
      <w:pPr>
        <w:spacing w:after="0" w:line="360" w:lineRule="auto"/>
        <w:jc w:val="both"/>
        <w:rPr>
          <w:sz w:val="28"/>
          <w:szCs w:val="28"/>
        </w:rPr>
      </w:pPr>
      <w:r w:rsidRPr="00E80F1E">
        <w:rPr>
          <w:sz w:val="28"/>
          <w:szCs w:val="28"/>
        </w:rPr>
        <w:t xml:space="preserve">Sul versante soggettivo di chi </w:t>
      </w:r>
      <w:r w:rsidR="0098284F">
        <w:rPr>
          <w:sz w:val="28"/>
          <w:szCs w:val="28"/>
        </w:rPr>
        <w:t>è</w:t>
      </w:r>
      <w:r w:rsidRPr="00E80F1E">
        <w:rPr>
          <w:sz w:val="28"/>
          <w:szCs w:val="28"/>
        </w:rPr>
        <w:t xml:space="preserve"> legittimato alla notifica di provvedimenti e atti c.d. sostanziali, </w:t>
      </w:r>
      <w:r w:rsidRPr="002452EC">
        <w:rPr>
          <w:b/>
          <w:sz w:val="28"/>
          <w:szCs w:val="28"/>
        </w:rPr>
        <w:t xml:space="preserve">non puo' sfuggire l'assoluta anomalia dell'avere il legislatore abilitato un soggetto di diritto privato quale era all'epoca ed </w:t>
      </w:r>
      <w:r w:rsidR="0098284F" w:rsidRPr="002452EC">
        <w:rPr>
          <w:b/>
          <w:sz w:val="28"/>
          <w:szCs w:val="28"/>
        </w:rPr>
        <w:t>è</w:t>
      </w:r>
      <w:r w:rsidRPr="002452EC">
        <w:rPr>
          <w:b/>
          <w:sz w:val="28"/>
          <w:szCs w:val="28"/>
        </w:rPr>
        <w:t xml:space="preserve"> attualmente il concessionario (ovvero Agente della Riscossione),</w:t>
      </w:r>
      <w:r w:rsidRPr="00E80F1E">
        <w:rPr>
          <w:sz w:val="28"/>
          <w:szCs w:val="28"/>
        </w:rPr>
        <w:t xml:space="preserve"> nella fattispecie Equitalia Nord spa incondizionatamente e in via ordinaria, con una norma speciale ad hoc (che non trova riscontri in altri settori dell'ordinamento) a una funzione eminentemente pubblicistica come </w:t>
      </w:r>
      <w:r w:rsidR="0098284F">
        <w:rPr>
          <w:sz w:val="28"/>
          <w:szCs w:val="28"/>
        </w:rPr>
        <w:t>è</w:t>
      </w:r>
      <w:r w:rsidRPr="00E80F1E">
        <w:rPr>
          <w:sz w:val="28"/>
          <w:szCs w:val="28"/>
        </w:rPr>
        <w:t xml:space="preserve"> quella dell'esercizio delle funzioni di notificazione «diretta» di atti.</w:t>
      </w:r>
    </w:p>
    <w:p w:rsidR="00E80F1E" w:rsidRPr="00E80F1E" w:rsidRDefault="00E80F1E" w:rsidP="00E80F1E">
      <w:pPr>
        <w:spacing w:after="0" w:line="360" w:lineRule="auto"/>
        <w:jc w:val="both"/>
        <w:rPr>
          <w:sz w:val="28"/>
          <w:szCs w:val="28"/>
        </w:rPr>
      </w:pPr>
      <w:r w:rsidRPr="00E80F1E">
        <w:rPr>
          <w:sz w:val="28"/>
          <w:szCs w:val="28"/>
        </w:rPr>
        <w:t>Invero, l'art. 12 della legge n. 890 riserva, in via generale, la notificazione «diretta» alle pubbliche amministrazioni; allo stesso modo, in materia tributaria l'art. 14 attribuisce la notifica «diretta» agli «uffici finanziari»; solo eccezionalmente, per lo piu' per i soli atti processuali, l'ordinamento attribuisce la potest</w:t>
      </w:r>
      <w:r w:rsidR="0098284F">
        <w:rPr>
          <w:sz w:val="28"/>
          <w:szCs w:val="28"/>
        </w:rPr>
        <w:t>à</w:t>
      </w:r>
      <w:r w:rsidRPr="00E80F1E">
        <w:rPr>
          <w:sz w:val="28"/>
          <w:szCs w:val="28"/>
        </w:rPr>
        <w:t xml:space="preserve"> </w:t>
      </w:r>
      <w:proofErr w:type="spellStart"/>
      <w:r w:rsidR="0098284F">
        <w:rPr>
          <w:sz w:val="28"/>
          <w:szCs w:val="28"/>
        </w:rPr>
        <w:t>notificatoria</w:t>
      </w:r>
      <w:proofErr w:type="spellEnd"/>
      <w:r w:rsidRPr="00E80F1E">
        <w:rPr>
          <w:sz w:val="28"/>
          <w:szCs w:val="28"/>
        </w:rPr>
        <w:t xml:space="preserve"> a soggetti non pubblici, previa sottoposizione (v. la legge n. 53 del 1994 e succ.mod.ni sulle notificazioni effettuate dagli avvocati) a condizioni assai rigorose (nient'affatto esistenti nella normativa sui poteri notificatori degli Agenti della Riscossione) sia di autorizzazione preventiva (individuale), sia di oggetto (oltre agli atti giudiziari, i soli atti «stragiudiziali» funzionali alla tutela di situazioni giuridiche del patrocinato come ad es. messa in </w:t>
      </w:r>
      <w:r w:rsidR="00B15E1D">
        <w:rPr>
          <w:sz w:val="28"/>
          <w:szCs w:val="28"/>
        </w:rPr>
        <w:t>m</w:t>
      </w:r>
      <w:r w:rsidRPr="00E80F1E">
        <w:rPr>
          <w:sz w:val="28"/>
          <w:szCs w:val="28"/>
        </w:rPr>
        <w:t xml:space="preserve">ora, diffide et </w:t>
      </w:r>
      <w:proofErr w:type="spellStart"/>
      <w:r w:rsidRPr="00E80F1E">
        <w:rPr>
          <w:sz w:val="28"/>
          <w:szCs w:val="28"/>
        </w:rPr>
        <w:t>similia</w:t>
      </w:r>
      <w:proofErr w:type="spellEnd"/>
      <w:r w:rsidRPr="00E80F1E">
        <w:rPr>
          <w:sz w:val="28"/>
          <w:szCs w:val="28"/>
        </w:rPr>
        <w:t>) sia di documentazione delle notificazioni eseguite (con obbligo, sotto quest'ultimo aspetto, tra l'altro, anche di stesura di relata di notifica).</w:t>
      </w:r>
    </w:p>
    <w:p w:rsidR="00E80F1E" w:rsidRPr="00B15E1D" w:rsidRDefault="00E80F1E" w:rsidP="00E80F1E">
      <w:pPr>
        <w:spacing w:after="0" w:line="360" w:lineRule="auto"/>
        <w:jc w:val="both"/>
        <w:rPr>
          <w:b/>
          <w:sz w:val="28"/>
          <w:szCs w:val="28"/>
        </w:rPr>
      </w:pPr>
      <w:r w:rsidRPr="00E80F1E">
        <w:rPr>
          <w:sz w:val="28"/>
          <w:szCs w:val="28"/>
        </w:rPr>
        <w:lastRenderedPageBreak/>
        <w:t xml:space="preserve">Nel contesto di una normativa che mette alle dipendenze del concessionario (facoltizzandolo a valersi, allo stesso fine, anche della collaborazione di altre amministrazioni) personale specificamente addetto alle notificazioni, con funzioni equiparate a quelle dell'ufficiale giudiziario, l'attribuzione al medesimo concessionario, in via aggiuntiva, del potere di notificazione diretta </w:t>
      </w:r>
      <w:r w:rsidRPr="00B15E1D">
        <w:rPr>
          <w:b/>
          <w:sz w:val="28"/>
          <w:szCs w:val="28"/>
        </w:rPr>
        <w:t>(«disciplina di favore nei confronti dell'esattore», come la definisce esplicitamente, sul piano della ricognizione del diritto positivo, la giurisprudenza di legittimit</w:t>
      </w:r>
      <w:r w:rsidR="0098284F" w:rsidRPr="00B15E1D">
        <w:rPr>
          <w:b/>
          <w:sz w:val="28"/>
          <w:szCs w:val="28"/>
        </w:rPr>
        <w:t>à</w:t>
      </w:r>
      <w:r w:rsidRPr="00B15E1D">
        <w:rPr>
          <w:b/>
          <w:sz w:val="28"/>
          <w:szCs w:val="28"/>
        </w:rPr>
        <w:t>: Cas</w:t>
      </w:r>
      <w:r w:rsidR="0098284F" w:rsidRPr="00B15E1D">
        <w:rPr>
          <w:b/>
          <w:sz w:val="28"/>
          <w:szCs w:val="28"/>
        </w:rPr>
        <w:t>s</w:t>
      </w:r>
      <w:r w:rsidRPr="00B15E1D">
        <w:rPr>
          <w:b/>
          <w:sz w:val="28"/>
          <w:szCs w:val="28"/>
        </w:rPr>
        <w:t>., n. 12351/16 cit. e, in precedenza, Cass. n. 11708/11),</w:t>
      </w:r>
      <w:r w:rsidRPr="00E80F1E">
        <w:rPr>
          <w:sz w:val="28"/>
          <w:szCs w:val="28"/>
        </w:rPr>
        <w:t xml:space="preserve"> appare</w:t>
      </w:r>
      <w:r w:rsidR="00B15E1D">
        <w:rPr>
          <w:sz w:val="28"/>
          <w:szCs w:val="28"/>
        </w:rPr>
        <w:t>,</w:t>
      </w:r>
      <w:r w:rsidRPr="00E80F1E">
        <w:rPr>
          <w:sz w:val="28"/>
          <w:szCs w:val="28"/>
        </w:rPr>
        <w:t xml:space="preserve"> ad avviso del collegio, del tutto irragionevole, traducendosi in un anacronistico e in uno Stato di diritto ingiustificabile privilegio (rispetto a tutti gli altri soggetti privati, che in via generale devono valersi, per le notificazioni anche a mezzo posta, dell'ufficiale giudiziario), cui corrisponde una speculare situazione di soggezione del destinatario dell'atto rispetto a un potere </w:t>
      </w:r>
      <w:proofErr w:type="spellStart"/>
      <w:r w:rsidRPr="00E80F1E">
        <w:rPr>
          <w:sz w:val="28"/>
          <w:szCs w:val="28"/>
        </w:rPr>
        <w:t>notificatorio</w:t>
      </w:r>
      <w:proofErr w:type="spellEnd"/>
      <w:r w:rsidRPr="00E80F1E">
        <w:rPr>
          <w:sz w:val="28"/>
          <w:szCs w:val="28"/>
        </w:rPr>
        <w:t xml:space="preserve"> privato </w:t>
      </w:r>
      <w:r w:rsidRPr="00B15E1D">
        <w:rPr>
          <w:b/>
          <w:sz w:val="28"/>
          <w:szCs w:val="28"/>
        </w:rPr>
        <w:t>(di un'ampiezza che non ha riscontro in alcun altro settore dell'ordinamento), in contrasto con l'art. 3, comma 1, della Costituzione.</w:t>
      </w:r>
    </w:p>
    <w:p w:rsidR="00E80F1E" w:rsidRPr="00B15E1D" w:rsidRDefault="00E80F1E" w:rsidP="00E80F1E">
      <w:pPr>
        <w:spacing w:after="0" w:line="360" w:lineRule="auto"/>
        <w:jc w:val="both"/>
        <w:rPr>
          <w:b/>
          <w:sz w:val="28"/>
          <w:szCs w:val="28"/>
        </w:rPr>
      </w:pPr>
      <w:r w:rsidRPr="00B15E1D">
        <w:rPr>
          <w:b/>
          <w:sz w:val="28"/>
          <w:szCs w:val="28"/>
        </w:rPr>
        <w:t xml:space="preserve">La mancanza di intermediario </w:t>
      </w:r>
      <w:r w:rsidR="0098284F" w:rsidRPr="00B15E1D">
        <w:rPr>
          <w:b/>
          <w:sz w:val="28"/>
          <w:szCs w:val="28"/>
        </w:rPr>
        <w:t>è</w:t>
      </w:r>
      <w:r w:rsidRPr="00B15E1D">
        <w:rPr>
          <w:b/>
          <w:sz w:val="28"/>
          <w:szCs w:val="28"/>
        </w:rPr>
        <w:t xml:space="preserve"> suscettibile di comportare seri pregiudizi anche all'esercizio del diritto di difesa (art. 24 della Costituzione) e alla regola di «</w:t>
      </w:r>
      <w:r w:rsidR="0098284F" w:rsidRPr="00B15E1D">
        <w:rPr>
          <w:b/>
          <w:sz w:val="28"/>
          <w:szCs w:val="28"/>
        </w:rPr>
        <w:t>parità</w:t>
      </w:r>
      <w:r w:rsidRPr="00B15E1D">
        <w:rPr>
          <w:b/>
          <w:sz w:val="28"/>
          <w:szCs w:val="28"/>
        </w:rPr>
        <w:t xml:space="preserve"> delle armi» (art. 111 della Costituzione).</w:t>
      </w:r>
    </w:p>
    <w:p w:rsidR="00E80F1E" w:rsidRPr="00C75680" w:rsidRDefault="00E80F1E" w:rsidP="00E80F1E">
      <w:pPr>
        <w:spacing w:after="0" w:line="360" w:lineRule="auto"/>
        <w:jc w:val="both"/>
        <w:rPr>
          <w:b/>
          <w:sz w:val="28"/>
          <w:szCs w:val="28"/>
        </w:rPr>
      </w:pPr>
      <w:r w:rsidRPr="00E80F1E">
        <w:rPr>
          <w:sz w:val="28"/>
          <w:szCs w:val="28"/>
        </w:rPr>
        <w:t>Nonostante la cartella (per la duplice natura di comunicazione dell'estratto di ruolo e di intimazione ad adempiere) abbia la stessa importanza del titolo esecutivo e dell'atto di precetto nel rito ordinario, il concessionario non ha oneri ne' di relata di notifica, ne' di assolvimento di particolari form</w:t>
      </w:r>
      <w:r w:rsidR="0098284F">
        <w:rPr>
          <w:sz w:val="28"/>
          <w:szCs w:val="28"/>
        </w:rPr>
        <w:t>alità</w:t>
      </w:r>
      <w:r w:rsidRPr="00E80F1E">
        <w:rPr>
          <w:sz w:val="28"/>
          <w:szCs w:val="28"/>
        </w:rPr>
        <w:t xml:space="preserve"> nella predisposizione e consegna al servizio postale che compie direttamente dell'atto o degli atti (ove plurimi) inseriti dal mittente medesimo nel «plico chiuso» da inviare al destinatario: </w:t>
      </w:r>
      <w:r w:rsidRPr="00C75680">
        <w:rPr>
          <w:b/>
          <w:sz w:val="28"/>
          <w:szCs w:val="28"/>
        </w:rPr>
        <w:t>difetta pertanto qualsivoglia garanzia formale di confor</w:t>
      </w:r>
      <w:r w:rsidR="0098284F" w:rsidRPr="00C75680">
        <w:rPr>
          <w:b/>
          <w:sz w:val="28"/>
          <w:szCs w:val="28"/>
        </w:rPr>
        <w:t>mità</w:t>
      </w:r>
      <w:r w:rsidRPr="00C75680">
        <w:rPr>
          <w:b/>
          <w:sz w:val="28"/>
          <w:szCs w:val="28"/>
        </w:rPr>
        <w:t xml:space="preserve"> tra atto emesso e atto inviato, al contrario di quanto avviene con l'attestazione di confor</w:t>
      </w:r>
      <w:r w:rsidR="0098284F" w:rsidRPr="00C75680">
        <w:rPr>
          <w:b/>
          <w:sz w:val="28"/>
          <w:szCs w:val="28"/>
        </w:rPr>
        <w:t>mità</w:t>
      </w:r>
      <w:r w:rsidRPr="00C75680">
        <w:rPr>
          <w:b/>
          <w:sz w:val="28"/>
          <w:szCs w:val="28"/>
        </w:rPr>
        <w:t xml:space="preserve"> ex articoli 137 e 149 del codice di procedura civile quando alla notifica a mezzo posta provvedano l'ufficiale giudiziario ovvero</w:t>
      </w:r>
      <w:r w:rsidR="00C75680">
        <w:rPr>
          <w:b/>
          <w:sz w:val="28"/>
          <w:szCs w:val="28"/>
        </w:rPr>
        <w:t>,</w:t>
      </w:r>
      <w:r w:rsidRPr="00C75680">
        <w:rPr>
          <w:b/>
          <w:sz w:val="28"/>
          <w:szCs w:val="28"/>
        </w:rPr>
        <w:t xml:space="preserve"> nella materia de qua, gli altri pubblici ufficiali equiparati.</w:t>
      </w:r>
    </w:p>
    <w:p w:rsidR="00E80F1E" w:rsidRPr="00E80F1E" w:rsidRDefault="00E80F1E" w:rsidP="00E80F1E">
      <w:pPr>
        <w:spacing w:after="0" w:line="360" w:lineRule="auto"/>
        <w:jc w:val="both"/>
        <w:rPr>
          <w:sz w:val="28"/>
          <w:szCs w:val="28"/>
        </w:rPr>
      </w:pPr>
      <w:r w:rsidRPr="00E80F1E">
        <w:rPr>
          <w:sz w:val="28"/>
          <w:szCs w:val="28"/>
        </w:rPr>
        <w:lastRenderedPageBreak/>
        <w:t>Questa «informal</w:t>
      </w:r>
      <w:r w:rsidR="0098284F">
        <w:rPr>
          <w:sz w:val="28"/>
          <w:szCs w:val="28"/>
        </w:rPr>
        <w:t>ità</w:t>
      </w:r>
      <w:r w:rsidRPr="00E80F1E">
        <w:rPr>
          <w:sz w:val="28"/>
          <w:szCs w:val="28"/>
        </w:rPr>
        <w:t xml:space="preserve">» da parte del concessionario nella predisposizione e invio del plico chiuso </w:t>
      </w:r>
      <w:r w:rsidR="0098284F">
        <w:rPr>
          <w:sz w:val="28"/>
          <w:szCs w:val="28"/>
        </w:rPr>
        <w:t>è</w:t>
      </w:r>
      <w:r w:rsidRPr="00E80F1E">
        <w:rPr>
          <w:sz w:val="28"/>
          <w:szCs w:val="28"/>
        </w:rPr>
        <w:t xml:space="preserve"> suscettibile di causare notevoli difficol</w:t>
      </w:r>
      <w:r w:rsidR="0098284F">
        <w:rPr>
          <w:sz w:val="28"/>
          <w:szCs w:val="28"/>
        </w:rPr>
        <w:t>tà</w:t>
      </w:r>
      <w:r w:rsidRPr="00E80F1E">
        <w:rPr>
          <w:sz w:val="28"/>
          <w:szCs w:val="28"/>
        </w:rPr>
        <w:t xml:space="preserve"> all'esercizio del diritto di difesa e di dare luogo a una situazione di svantaggio del destinatario della notifica «diretta»: il </w:t>
      </w:r>
      <w:proofErr w:type="spellStart"/>
      <w:r w:rsidRPr="00E80F1E">
        <w:rPr>
          <w:sz w:val="28"/>
          <w:szCs w:val="28"/>
        </w:rPr>
        <w:t>notificatario</w:t>
      </w:r>
      <w:proofErr w:type="spellEnd"/>
      <w:r w:rsidRPr="00E80F1E">
        <w:rPr>
          <w:sz w:val="28"/>
          <w:szCs w:val="28"/>
        </w:rPr>
        <w:t xml:space="preserve">, infatti, non </w:t>
      </w:r>
      <w:proofErr w:type="spellStart"/>
      <w:r w:rsidRPr="00E80F1E">
        <w:rPr>
          <w:sz w:val="28"/>
          <w:szCs w:val="28"/>
        </w:rPr>
        <w:t>puo'</w:t>
      </w:r>
      <w:proofErr w:type="spellEnd"/>
      <w:r w:rsidRPr="00E80F1E">
        <w:rPr>
          <w:sz w:val="28"/>
          <w:szCs w:val="28"/>
        </w:rPr>
        <w:t xml:space="preserve"> fare affidamento sulla certezza preventivamente attestata dall'ufficiale giudiziario (o equiparato) sulla conform</w:t>
      </w:r>
      <w:r w:rsidR="0098284F">
        <w:rPr>
          <w:sz w:val="28"/>
          <w:szCs w:val="28"/>
        </w:rPr>
        <w:t>ità</w:t>
      </w:r>
      <w:r w:rsidRPr="00E80F1E">
        <w:rPr>
          <w:sz w:val="28"/>
          <w:szCs w:val="28"/>
        </w:rPr>
        <w:t xml:space="preserve"> (rilevante ovviamente anche sotto l'aspetto della completezza) tra l'esemplare, anche voluminoso, </w:t>
      </w:r>
      <w:r w:rsidR="0098284F">
        <w:rPr>
          <w:sz w:val="28"/>
          <w:szCs w:val="28"/>
        </w:rPr>
        <w:t>perchè</w:t>
      </w:r>
      <w:r w:rsidRPr="00E80F1E">
        <w:rPr>
          <w:sz w:val="28"/>
          <w:szCs w:val="28"/>
        </w:rPr>
        <w:t xml:space="preserve"> composto da molte pagine, dell'atto ricevuto (ovvero dei molteplici atti, inclusi in unico plico, come in concreto spesso si verifica), da impugnare sotto pena di decadenza, e atto ovvero atti effettivamente emessi dall'Agente della Riscossione, controparte processuale nel giudizio di impugnazione, con conseguente onere in ipotesi di discordanza tra atti asseritamente inviati a mezzo posta e atti ricevuti a carico del notificato della prova particolarmente onerosa in un giudizio, quale quello tributario, in cui non </w:t>
      </w:r>
      <w:r w:rsidR="0098284F">
        <w:rPr>
          <w:sz w:val="28"/>
          <w:szCs w:val="28"/>
        </w:rPr>
        <w:t>è</w:t>
      </w:r>
      <w:r w:rsidRPr="00E80F1E">
        <w:rPr>
          <w:sz w:val="28"/>
          <w:szCs w:val="28"/>
        </w:rPr>
        <w:t xml:space="preserve"> ammessa la prova testimoniale secondo un diffuso indirizzo giurisprudenziale sul fatto che il plico ha contenuto diverso da quello indicato dal mittente (Cas</w:t>
      </w:r>
      <w:r w:rsidR="0098284F">
        <w:rPr>
          <w:sz w:val="28"/>
          <w:szCs w:val="28"/>
        </w:rPr>
        <w:t>s</w:t>
      </w:r>
      <w:r w:rsidRPr="00E80F1E">
        <w:rPr>
          <w:sz w:val="28"/>
          <w:szCs w:val="28"/>
        </w:rPr>
        <w:t xml:space="preserve">., </w:t>
      </w:r>
      <w:proofErr w:type="spellStart"/>
      <w:r w:rsidRPr="00E80F1E">
        <w:rPr>
          <w:sz w:val="28"/>
          <w:szCs w:val="28"/>
        </w:rPr>
        <w:t>nn</w:t>
      </w:r>
      <w:proofErr w:type="spellEnd"/>
      <w:r w:rsidRPr="00E80F1E">
        <w:rPr>
          <w:sz w:val="28"/>
          <w:szCs w:val="28"/>
        </w:rPr>
        <w:t>. 873 del 2006, 24054 del 2015 e 15762 del 2013).</w:t>
      </w:r>
    </w:p>
    <w:p w:rsidR="00E80F1E" w:rsidRPr="00C75680" w:rsidRDefault="00E80F1E" w:rsidP="00E80F1E">
      <w:pPr>
        <w:spacing w:after="0" w:line="360" w:lineRule="auto"/>
        <w:jc w:val="both"/>
        <w:rPr>
          <w:b/>
          <w:sz w:val="28"/>
          <w:szCs w:val="28"/>
        </w:rPr>
      </w:pPr>
      <w:r w:rsidRPr="00C75680">
        <w:rPr>
          <w:b/>
          <w:sz w:val="28"/>
          <w:szCs w:val="28"/>
        </w:rPr>
        <w:t xml:space="preserve">Per la situazione di svantaggio rispetto alla controparte processuale e di eccessiva </w:t>
      </w:r>
      <w:r w:rsidR="0098284F" w:rsidRPr="00C75680">
        <w:rPr>
          <w:b/>
          <w:sz w:val="28"/>
          <w:szCs w:val="28"/>
        </w:rPr>
        <w:t>difficoltà</w:t>
      </w:r>
      <w:r w:rsidRPr="00C75680">
        <w:rPr>
          <w:b/>
          <w:sz w:val="28"/>
          <w:szCs w:val="28"/>
        </w:rPr>
        <w:t xml:space="preserve"> della tutela giurisdizionale (cfr. Corte </w:t>
      </w:r>
      <w:r w:rsidR="0098284F" w:rsidRPr="00C75680">
        <w:rPr>
          <w:b/>
          <w:sz w:val="28"/>
          <w:szCs w:val="28"/>
        </w:rPr>
        <w:t>C</w:t>
      </w:r>
      <w:r w:rsidRPr="00C75680">
        <w:rPr>
          <w:b/>
          <w:sz w:val="28"/>
          <w:szCs w:val="28"/>
        </w:rPr>
        <w:t xml:space="preserve">ostituzionale, n. 237 del 2007; </w:t>
      </w:r>
      <w:proofErr w:type="spellStart"/>
      <w:r w:rsidRPr="00C75680">
        <w:rPr>
          <w:b/>
          <w:sz w:val="28"/>
          <w:szCs w:val="28"/>
        </w:rPr>
        <w:t>nn</w:t>
      </w:r>
      <w:proofErr w:type="spellEnd"/>
      <w:r w:rsidRPr="00C75680">
        <w:rPr>
          <w:b/>
          <w:sz w:val="28"/>
          <w:szCs w:val="28"/>
        </w:rPr>
        <w:t>. 382 e 213 del 2005), dubita pertanto il collegio che (tenuto conto anche dei ristretti limiti temporali assegnati per il completamento di tutte le difese, a pena di decadenza) sia costituzionalmente compatibile con gli articoli 24 e 111 della</w:t>
      </w:r>
      <w:r w:rsidRPr="00E80F1E">
        <w:rPr>
          <w:sz w:val="28"/>
          <w:szCs w:val="28"/>
        </w:rPr>
        <w:t xml:space="preserve"> </w:t>
      </w:r>
      <w:r w:rsidRPr="00C75680">
        <w:rPr>
          <w:b/>
          <w:sz w:val="28"/>
          <w:szCs w:val="28"/>
        </w:rPr>
        <w:t xml:space="preserve">Costituzione un potere </w:t>
      </w:r>
      <w:proofErr w:type="spellStart"/>
      <w:r w:rsidRPr="00C75680">
        <w:rPr>
          <w:b/>
          <w:sz w:val="28"/>
          <w:szCs w:val="28"/>
        </w:rPr>
        <w:t>notificatorio</w:t>
      </w:r>
      <w:proofErr w:type="spellEnd"/>
      <w:r w:rsidRPr="00C75680">
        <w:rPr>
          <w:b/>
          <w:sz w:val="28"/>
          <w:szCs w:val="28"/>
        </w:rPr>
        <w:t xml:space="preserve"> di tale ampiezza, sganciato da oneri di osservanza di qualsivoglia efficace </w:t>
      </w:r>
      <w:r w:rsidR="0098284F" w:rsidRPr="00C75680">
        <w:rPr>
          <w:b/>
          <w:sz w:val="28"/>
          <w:szCs w:val="28"/>
        </w:rPr>
        <w:t>formalità</w:t>
      </w:r>
      <w:r w:rsidRPr="00C75680">
        <w:rPr>
          <w:b/>
          <w:sz w:val="28"/>
          <w:szCs w:val="28"/>
        </w:rPr>
        <w:t>, esercitato da parte di un soggetto privato (e quindi come tale, neppure assoggettato alla regola della «</w:t>
      </w:r>
      <w:r w:rsidR="0098284F" w:rsidRPr="00C75680">
        <w:rPr>
          <w:b/>
          <w:sz w:val="28"/>
          <w:szCs w:val="28"/>
        </w:rPr>
        <w:t>imparzialità</w:t>
      </w:r>
      <w:r w:rsidRPr="00C75680">
        <w:rPr>
          <w:b/>
          <w:sz w:val="28"/>
          <w:szCs w:val="28"/>
        </w:rPr>
        <w:t xml:space="preserve">» nell'agire dettata dall'art. 97 della Costituzione), come </w:t>
      </w:r>
      <w:r w:rsidR="0098284F" w:rsidRPr="00C75680">
        <w:rPr>
          <w:b/>
          <w:sz w:val="28"/>
          <w:szCs w:val="28"/>
        </w:rPr>
        <w:t>è</w:t>
      </w:r>
      <w:r w:rsidRPr="00C75680">
        <w:rPr>
          <w:b/>
          <w:sz w:val="28"/>
          <w:szCs w:val="28"/>
        </w:rPr>
        <w:t xml:space="preserve"> il concessionario, in difetto di qualsivoglia garanzia, per il destinatario, </w:t>
      </w:r>
      <w:r w:rsidR="0098284F" w:rsidRPr="00C75680">
        <w:rPr>
          <w:b/>
          <w:sz w:val="28"/>
          <w:szCs w:val="28"/>
        </w:rPr>
        <w:t>già</w:t>
      </w:r>
      <w:r w:rsidRPr="00C75680">
        <w:rPr>
          <w:b/>
          <w:sz w:val="28"/>
          <w:szCs w:val="28"/>
        </w:rPr>
        <w:t xml:space="preserve"> al momento della ricezione, del diritto alla tempestiva conoscenza nella sua interezza e nella sua </w:t>
      </w:r>
      <w:r w:rsidR="0098284F" w:rsidRPr="00C75680">
        <w:rPr>
          <w:b/>
          <w:sz w:val="28"/>
          <w:szCs w:val="28"/>
        </w:rPr>
        <w:t>genuinità</w:t>
      </w:r>
      <w:r w:rsidRPr="00C75680">
        <w:rPr>
          <w:b/>
          <w:sz w:val="28"/>
          <w:szCs w:val="28"/>
        </w:rPr>
        <w:t xml:space="preserve">, dell'atto </w:t>
      </w:r>
      <w:r w:rsidRPr="00C75680">
        <w:rPr>
          <w:b/>
          <w:sz w:val="28"/>
          <w:szCs w:val="28"/>
        </w:rPr>
        <w:lastRenderedPageBreak/>
        <w:t xml:space="preserve">(ovvero degli atti, ove congiuntamente inviati) effettivamente emesso, senza </w:t>
      </w:r>
      <w:r w:rsidR="0098284F" w:rsidRPr="00C75680">
        <w:rPr>
          <w:b/>
          <w:sz w:val="28"/>
          <w:szCs w:val="28"/>
        </w:rPr>
        <w:t>necessità</w:t>
      </w:r>
      <w:r w:rsidRPr="00C75680">
        <w:rPr>
          <w:b/>
          <w:sz w:val="28"/>
          <w:szCs w:val="28"/>
        </w:rPr>
        <w:t xml:space="preserve"> di dover preliminarmente procedere</w:t>
      </w:r>
      <w:r w:rsidR="00C75680">
        <w:rPr>
          <w:b/>
          <w:sz w:val="28"/>
          <w:szCs w:val="28"/>
        </w:rPr>
        <w:t>,</w:t>
      </w:r>
      <w:r w:rsidRPr="00C75680">
        <w:rPr>
          <w:b/>
          <w:sz w:val="28"/>
          <w:szCs w:val="28"/>
        </w:rPr>
        <w:t xml:space="preserve"> come invece presuppone il sistema attuale in pendenza del termine per ricorrere, a verifiche e collazioni anche molto laboriose (e di per se' non risolutive da un punto di vista della prova di quanto effettivamente incluso nel plico pervenuto) presso il concessionario ex art. 26</w:t>
      </w:r>
      <w:r w:rsidR="00C75680">
        <w:rPr>
          <w:b/>
          <w:sz w:val="28"/>
          <w:szCs w:val="28"/>
        </w:rPr>
        <w:t>,</w:t>
      </w:r>
      <w:r w:rsidRPr="00C75680">
        <w:rPr>
          <w:b/>
          <w:sz w:val="28"/>
          <w:szCs w:val="28"/>
        </w:rPr>
        <w:t xml:space="preserve"> com</w:t>
      </w:r>
      <w:r w:rsidR="00942407" w:rsidRPr="00C75680">
        <w:rPr>
          <w:b/>
          <w:sz w:val="28"/>
          <w:szCs w:val="28"/>
        </w:rPr>
        <w:t>m</w:t>
      </w:r>
      <w:r w:rsidRPr="00C75680">
        <w:rPr>
          <w:b/>
          <w:sz w:val="28"/>
          <w:szCs w:val="28"/>
        </w:rPr>
        <w:t>a 5</w:t>
      </w:r>
      <w:r w:rsidR="00C75680">
        <w:rPr>
          <w:b/>
          <w:sz w:val="28"/>
          <w:szCs w:val="28"/>
        </w:rPr>
        <w:t>,</w:t>
      </w:r>
      <w:r w:rsidRPr="00C75680">
        <w:rPr>
          <w:b/>
          <w:sz w:val="28"/>
          <w:szCs w:val="28"/>
        </w:rPr>
        <w:t xml:space="preserve"> decreto del Presidente della Repubblica n. 602/73.</w:t>
      </w:r>
    </w:p>
    <w:p w:rsidR="00E80F1E" w:rsidRPr="00E80F1E" w:rsidRDefault="00E80F1E" w:rsidP="00E80F1E">
      <w:pPr>
        <w:spacing w:after="0" w:line="360" w:lineRule="auto"/>
        <w:jc w:val="both"/>
        <w:rPr>
          <w:sz w:val="28"/>
          <w:szCs w:val="28"/>
        </w:rPr>
      </w:pPr>
      <w:r w:rsidRPr="00E80F1E">
        <w:rPr>
          <w:sz w:val="28"/>
          <w:szCs w:val="28"/>
        </w:rPr>
        <w:t>Ulteriori e autonome problematiche, sotto l'aspetto in questo particolare sistema di notifica di minori garanzie</w:t>
      </w:r>
      <w:r w:rsidR="00C75680">
        <w:rPr>
          <w:sz w:val="28"/>
          <w:szCs w:val="28"/>
        </w:rPr>
        <w:t>,</w:t>
      </w:r>
      <w:r w:rsidRPr="00E80F1E">
        <w:rPr>
          <w:sz w:val="28"/>
          <w:szCs w:val="28"/>
        </w:rPr>
        <w:t xml:space="preserve"> sorgono anche sul diverso versante delle regole di recapito della cartella, chiunque</w:t>
      </w:r>
      <w:r w:rsidR="00C75680">
        <w:rPr>
          <w:sz w:val="28"/>
          <w:szCs w:val="28"/>
        </w:rPr>
        <w:t>,</w:t>
      </w:r>
      <w:r w:rsidRPr="00E80F1E">
        <w:rPr>
          <w:sz w:val="28"/>
          <w:szCs w:val="28"/>
        </w:rPr>
        <w:t xml:space="preserve"> il concessionario ovvero (data la latitudine della norma) altro soggetto abilitato (ufficiale della Riscossione, messo o figura equiparata)</w:t>
      </w:r>
      <w:r w:rsidR="00C75680">
        <w:rPr>
          <w:sz w:val="28"/>
          <w:szCs w:val="28"/>
        </w:rPr>
        <w:t>,</w:t>
      </w:r>
      <w:r w:rsidRPr="00E80F1E">
        <w:rPr>
          <w:sz w:val="28"/>
          <w:szCs w:val="28"/>
        </w:rPr>
        <w:t xml:space="preserve"> ne abbia effettuato l'invio a mezzo posta</w:t>
      </w:r>
      <w:r w:rsidR="00C75680">
        <w:rPr>
          <w:sz w:val="28"/>
          <w:szCs w:val="28"/>
        </w:rPr>
        <w:t>,</w:t>
      </w:r>
      <w:r w:rsidRPr="00E80F1E">
        <w:rPr>
          <w:sz w:val="28"/>
          <w:szCs w:val="28"/>
        </w:rPr>
        <w:t xml:space="preserve"> ai sensi del medesimo art. 26 del decreto del Presidente della Repubblica n. 602, com</w:t>
      </w:r>
      <w:r w:rsidR="00942407">
        <w:rPr>
          <w:sz w:val="28"/>
          <w:szCs w:val="28"/>
        </w:rPr>
        <w:t>m</w:t>
      </w:r>
      <w:r w:rsidRPr="00E80F1E">
        <w:rPr>
          <w:sz w:val="28"/>
          <w:szCs w:val="28"/>
        </w:rPr>
        <w:t>a 1</w:t>
      </w:r>
      <w:r w:rsidR="00C75680">
        <w:rPr>
          <w:sz w:val="28"/>
          <w:szCs w:val="28"/>
        </w:rPr>
        <w:t>,</w:t>
      </w:r>
      <w:r w:rsidRPr="00E80F1E">
        <w:rPr>
          <w:sz w:val="28"/>
          <w:szCs w:val="28"/>
        </w:rPr>
        <w:t xml:space="preserve"> parte seconda.</w:t>
      </w:r>
    </w:p>
    <w:p w:rsidR="00E80F1E" w:rsidRPr="00C75680" w:rsidRDefault="00E80F1E" w:rsidP="00E80F1E">
      <w:pPr>
        <w:spacing w:after="0" w:line="360" w:lineRule="auto"/>
        <w:jc w:val="both"/>
        <w:rPr>
          <w:b/>
          <w:sz w:val="28"/>
          <w:szCs w:val="28"/>
        </w:rPr>
      </w:pPr>
      <w:r w:rsidRPr="00C75680">
        <w:rPr>
          <w:b/>
          <w:sz w:val="28"/>
          <w:szCs w:val="28"/>
        </w:rPr>
        <w:t>Trattandosi (sulla scorta del «diritto vivente») di plico inviato con raccomandata ordinaria, l'applicazione (non delle norme di cui alla legge 20 novembre 1982, n. 890</w:t>
      </w:r>
      <w:r w:rsidR="00942407" w:rsidRPr="00C75680">
        <w:rPr>
          <w:b/>
          <w:sz w:val="28"/>
          <w:szCs w:val="28"/>
        </w:rPr>
        <w:t>)</w:t>
      </w:r>
      <w:r w:rsidRPr="00C75680">
        <w:rPr>
          <w:b/>
          <w:sz w:val="28"/>
          <w:szCs w:val="28"/>
        </w:rPr>
        <w:t>, ma delle disposizioni concernenti il servizio postale ordinario per la consegna dei plichi raccomandati (cfr. ex multis da ultimo Cas</w:t>
      </w:r>
      <w:r w:rsidR="00C81DBE" w:rsidRPr="00C75680">
        <w:rPr>
          <w:b/>
          <w:sz w:val="28"/>
          <w:szCs w:val="28"/>
        </w:rPr>
        <w:t>s</w:t>
      </w:r>
      <w:r w:rsidRPr="00C75680">
        <w:rPr>
          <w:b/>
          <w:sz w:val="28"/>
          <w:szCs w:val="28"/>
        </w:rPr>
        <w:t xml:space="preserve">., </w:t>
      </w:r>
      <w:proofErr w:type="spellStart"/>
      <w:r w:rsidRPr="00C75680">
        <w:rPr>
          <w:b/>
          <w:sz w:val="28"/>
          <w:szCs w:val="28"/>
        </w:rPr>
        <w:t>nn</w:t>
      </w:r>
      <w:proofErr w:type="spellEnd"/>
      <w:r w:rsidRPr="00C75680">
        <w:rPr>
          <w:b/>
          <w:sz w:val="28"/>
          <w:szCs w:val="28"/>
        </w:rPr>
        <w:t xml:space="preserve">. 12083 e 12351 del 2016) comporta notevoli ricadute in termini di diminuite tutele del </w:t>
      </w:r>
      <w:proofErr w:type="spellStart"/>
      <w:r w:rsidRPr="00C75680">
        <w:rPr>
          <w:b/>
          <w:sz w:val="28"/>
          <w:szCs w:val="28"/>
        </w:rPr>
        <w:t>notificatario</w:t>
      </w:r>
      <w:proofErr w:type="spellEnd"/>
      <w:r w:rsidRPr="00C75680">
        <w:rPr>
          <w:b/>
          <w:sz w:val="28"/>
          <w:szCs w:val="28"/>
        </w:rPr>
        <w:t xml:space="preserve"> che possono </w:t>
      </w:r>
      <w:r w:rsidR="00093E50" w:rsidRPr="00C75680">
        <w:rPr>
          <w:b/>
          <w:sz w:val="28"/>
          <w:szCs w:val="28"/>
        </w:rPr>
        <w:t>così</w:t>
      </w:r>
      <w:r w:rsidRPr="00C75680">
        <w:rPr>
          <w:b/>
          <w:sz w:val="28"/>
          <w:szCs w:val="28"/>
        </w:rPr>
        <w:t xml:space="preserve"> sintetizzarsi</w:t>
      </w:r>
      <w:r w:rsidR="00C75680">
        <w:rPr>
          <w:b/>
          <w:sz w:val="28"/>
          <w:szCs w:val="28"/>
        </w:rPr>
        <w:t>.</w:t>
      </w:r>
    </w:p>
    <w:p w:rsidR="00E80F1E" w:rsidRPr="00E80F1E" w:rsidRDefault="00E80F1E" w:rsidP="00E80F1E">
      <w:pPr>
        <w:spacing w:after="0" w:line="360" w:lineRule="auto"/>
        <w:jc w:val="both"/>
        <w:rPr>
          <w:sz w:val="28"/>
          <w:szCs w:val="28"/>
        </w:rPr>
      </w:pPr>
      <w:r w:rsidRPr="00E80F1E">
        <w:rPr>
          <w:sz w:val="28"/>
          <w:szCs w:val="28"/>
        </w:rPr>
        <w:t xml:space="preserve">Non </w:t>
      </w:r>
      <w:r w:rsidR="00093E50">
        <w:rPr>
          <w:sz w:val="28"/>
          <w:szCs w:val="28"/>
        </w:rPr>
        <w:t>è</w:t>
      </w:r>
      <w:r w:rsidRPr="00E80F1E">
        <w:rPr>
          <w:sz w:val="28"/>
          <w:szCs w:val="28"/>
        </w:rPr>
        <w:t xml:space="preserve"> richiesta (relata, e nemmeno) annotazione specifica sull'avviso di ricevimento della persona cui </w:t>
      </w:r>
      <w:r w:rsidR="00093E50">
        <w:rPr>
          <w:sz w:val="28"/>
          <w:szCs w:val="28"/>
        </w:rPr>
        <w:t>è</w:t>
      </w:r>
      <w:r w:rsidRPr="00E80F1E">
        <w:rPr>
          <w:sz w:val="28"/>
          <w:szCs w:val="28"/>
        </w:rPr>
        <w:t xml:space="preserve"> stato consegnato il plico: Cas</w:t>
      </w:r>
      <w:r w:rsidR="00093E50">
        <w:rPr>
          <w:sz w:val="28"/>
          <w:szCs w:val="28"/>
        </w:rPr>
        <w:t>s</w:t>
      </w:r>
      <w:r w:rsidRPr="00E80F1E">
        <w:rPr>
          <w:sz w:val="28"/>
          <w:szCs w:val="28"/>
        </w:rPr>
        <w:t xml:space="preserve">., </w:t>
      </w:r>
      <w:proofErr w:type="spellStart"/>
      <w:r w:rsidRPr="00E80F1E">
        <w:rPr>
          <w:sz w:val="28"/>
          <w:szCs w:val="28"/>
        </w:rPr>
        <w:t>nn</w:t>
      </w:r>
      <w:proofErr w:type="spellEnd"/>
      <w:r w:rsidRPr="00E80F1E">
        <w:rPr>
          <w:sz w:val="28"/>
          <w:szCs w:val="28"/>
        </w:rPr>
        <w:t>. 26864 del 2014; 6395 del 2014; 9111/2012 (invece, ex art. 7, com</w:t>
      </w:r>
      <w:r w:rsidR="00942407">
        <w:rPr>
          <w:sz w:val="28"/>
          <w:szCs w:val="28"/>
        </w:rPr>
        <w:t>m</w:t>
      </w:r>
      <w:r w:rsidRPr="00E80F1E">
        <w:rPr>
          <w:sz w:val="28"/>
          <w:szCs w:val="28"/>
        </w:rPr>
        <w:t xml:space="preserve">a 4 legge n. 890, «... Quando la consegna sia effettuata a persona diversa dal destinatario, la firma deve essere seguita dalla specificazione della </w:t>
      </w:r>
      <w:r w:rsidR="00093E50">
        <w:rPr>
          <w:sz w:val="28"/>
          <w:szCs w:val="28"/>
        </w:rPr>
        <w:t>qualità</w:t>
      </w:r>
      <w:r w:rsidRPr="00E80F1E">
        <w:rPr>
          <w:sz w:val="28"/>
          <w:szCs w:val="28"/>
        </w:rPr>
        <w:t xml:space="preserve"> rivestita dal</w:t>
      </w:r>
      <w:r w:rsidR="00093E50">
        <w:rPr>
          <w:sz w:val="28"/>
          <w:szCs w:val="28"/>
        </w:rPr>
        <w:t xml:space="preserve"> </w:t>
      </w:r>
      <w:r w:rsidRPr="00E80F1E">
        <w:rPr>
          <w:sz w:val="28"/>
          <w:szCs w:val="28"/>
        </w:rPr>
        <w:t>consegnatario,</w:t>
      </w:r>
      <w:r w:rsidR="00093E50">
        <w:rPr>
          <w:sz w:val="28"/>
          <w:szCs w:val="28"/>
        </w:rPr>
        <w:t xml:space="preserve"> </w:t>
      </w:r>
      <w:r w:rsidRPr="00E80F1E">
        <w:rPr>
          <w:sz w:val="28"/>
          <w:szCs w:val="28"/>
        </w:rPr>
        <w:t>con</w:t>
      </w:r>
      <w:r w:rsidR="00093E50">
        <w:rPr>
          <w:sz w:val="28"/>
          <w:szCs w:val="28"/>
        </w:rPr>
        <w:t xml:space="preserve"> </w:t>
      </w:r>
      <w:r w:rsidRPr="00E80F1E">
        <w:rPr>
          <w:sz w:val="28"/>
          <w:szCs w:val="28"/>
        </w:rPr>
        <w:t>l'aggiunta,</w:t>
      </w:r>
      <w:r w:rsidR="00093E50">
        <w:rPr>
          <w:sz w:val="28"/>
          <w:szCs w:val="28"/>
        </w:rPr>
        <w:t xml:space="preserve"> </w:t>
      </w:r>
      <w:r w:rsidRPr="00E80F1E">
        <w:rPr>
          <w:sz w:val="28"/>
          <w:szCs w:val="28"/>
        </w:rPr>
        <w:t>se</w:t>
      </w:r>
      <w:r w:rsidR="00093E50">
        <w:rPr>
          <w:sz w:val="28"/>
          <w:szCs w:val="28"/>
        </w:rPr>
        <w:t xml:space="preserve"> </w:t>
      </w:r>
      <w:r w:rsidRPr="00E80F1E">
        <w:rPr>
          <w:sz w:val="28"/>
          <w:szCs w:val="28"/>
        </w:rPr>
        <w:t>trattasi</w:t>
      </w:r>
      <w:r w:rsidR="00093E50">
        <w:rPr>
          <w:sz w:val="28"/>
          <w:szCs w:val="28"/>
        </w:rPr>
        <w:t xml:space="preserve"> </w:t>
      </w:r>
      <w:r w:rsidRPr="00E80F1E">
        <w:rPr>
          <w:sz w:val="28"/>
          <w:szCs w:val="28"/>
        </w:rPr>
        <w:t>di</w:t>
      </w:r>
      <w:r w:rsidR="00093E50">
        <w:rPr>
          <w:sz w:val="28"/>
          <w:szCs w:val="28"/>
        </w:rPr>
        <w:t xml:space="preserve"> </w:t>
      </w:r>
      <w:r w:rsidRPr="00E80F1E">
        <w:rPr>
          <w:sz w:val="28"/>
          <w:szCs w:val="28"/>
        </w:rPr>
        <w:t>familiare,</w:t>
      </w:r>
      <w:r w:rsidR="00093E50">
        <w:rPr>
          <w:sz w:val="28"/>
          <w:szCs w:val="28"/>
        </w:rPr>
        <w:t xml:space="preserve"> </w:t>
      </w:r>
      <w:r w:rsidRPr="00E80F1E">
        <w:rPr>
          <w:sz w:val="28"/>
          <w:szCs w:val="28"/>
        </w:rPr>
        <w:t>dell'indicazione di convivente anche se temporaneo»)</w:t>
      </w:r>
      <w:r w:rsidR="00093E50">
        <w:rPr>
          <w:sz w:val="28"/>
          <w:szCs w:val="28"/>
        </w:rPr>
        <w:t>.</w:t>
      </w:r>
    </w:p>
    <w:p w:rsidR="00E80F1E" w:rsidRPr="00E80F1E" w:rsidRDefault="00E80F1E" w:rsidP="00E80F1E">
      <w:pPr>
        <w:spacing w:after="0" w:line="360" w:lineRule="auto"/>
        <w:jc w:val="both"/>
        <w:rPr>
          <w:sz w:val="28"/>
          <w:szCs w:val="28"/>
        </w:rPr>
      </w:pPr>
      <w:r w:rsidRPr="00E80F1E">
        <w:rPr>
          <w:sz w:val="28"/>
          <w:szCs w:val="28"/>
        </w:rPr>
        <w:t>A fortiori, l'agente postale non ha neppure l'obbligo di seguire, in caso di notifica «diretta», l'ordine preferenziale nella consegna del plico prescritto dall'art. 7, comma 2 e 3 legge n.</w:t>
      </w:r>
      <w:r w:rsidR="00942407">
        <w:rPr>
          <w:sz w:val="28"/>
          <w:szCs w:val="28"/>
        </w:rPr>
        <w:t xml:space="preserve"> </w:t>
      </w:r>
      <w:r w:rsidRPr="00E80F1E">
        <w:rPr>
          <w:sz w:val="28"/>
          <w:szCs w:val="28"/>
        </w:rPr>
        <w:t xml:space="preserve">890, in quanto, secondo l'art. 20 delle «condizioni generali per </w:t>
      </w:r>
      <w:r w:rsidRPr="00E80F1E">
        <w:rPr>
          <w:sz w:val="28"/>
          <w:szCs w:val="28"/>
        </w:rPr>
        <w:lastRenderedPageBreak/>
        <w:t xml:space="preserve">l'espletamento del servizio postale universale «approvate con decreto ministeriale </w:t>
      </w:r>
      <w:r w:rsidR="007C4B68">
        <w:rPr>
          <w:sz w:val="28"/>
          <w:szCs w:val="28"/>
        </w:rPr>
        <w:t>1°</w:t>
      </w:r>
      <w:r w:rsidRPr="00E80F1E">
        <w:rPr>
          <w:sz w:val="28"/>
          <w:szCs w:val="28"/>
        </w:rPr>
        <w:t xml:space="preserve"> ottobre 2008 (che ha sostituito il precedente decreto ministeriale del 2001, di contenuto sovrapponibile), il recapito degli «invii raccomandati» </w:t>
      </w:r>
      <w:r w:rsidR="007C4B68">
        <w:rPr>
          <w:sz w:val="28"/>
          <w:szCs w:val="28"/>
        </w:rPr>
        <w:t>è</w:t>
      </w:r>
      <w:r w:rsidRPr="00E80F1E">
        <w:rPr>
          <w:sz w:val="28"/>
          <w:szCs w:val="28"/>
        </w:rPr>
        <w:t xml:space="preserve"> effettuato «tramite consegna al destinatario o ad altra persona individuata ai sensi degli articoli 26, 27, 28, e 29, previa firma per ricevuta» e il successivo art. 26 («</w:t>
      </w:r>
      <w:r w:rsidR="00942407">
        <w:rPr>
          <w:sz w:val="28"/>
          <w:szCs w:val="28"/>
        </w:rPr>
        <w:t>n</w:t>
      </w:r>
      <w:r w:rsidRPr="00E80F1E">
        <w:rPr>
          <w:sz w:val="28"/>
          <w:szCs w:val="28"/>
        </w:rPr>
        <w:t>uclei familiari») delle «</w:t>
      </w:r>
      <w:r w:rsidR="00942407">
        <w:rPr>
          <w:sz w:val="28"/>
          <w:szCs w:val="28"/>
        </w:rPr>
        <w:t>c</w:t>
      </w:r>
      <w:r w:rsidRPr="00E80F1E">
        <w:rPr>
          <w:sz w:val="28"/>
          <w:szCs w:val="28"/>
        </w:rPr>
        <w:t xml:space="preserve">ondizioni generali» del servizio, si limita a prevedere, senza alcun ordine di necessaria </w:t>
      </w:r>
      <w:r w:rsidR="007C4B68">
        <w:rPr>
          <w:sz w:val="28"/>
          <w:szCs w:val="28"/>
        </w:rPr>
        <w:t>priorità</w:t>
      </w:r>
      <w:r w:rsidRPr="00E80F1E">
        <w:rPr>
          <w:sz w:val="28"/>
          <w:szCs w:val="28"/>
        </w:rPr>
        <w:t xml:space="preserve">, che «Sono abilitati a ricevere gli invii postali presso il domicilio del destinatario anche i componenti del nucleo familiare, i conviventi ed i collaboratori familiari dello stesso e, se vi </w:t>
      </w:r>
      <w:r w:rsidR="007C4B68">
        <w:rPr>
          <w:sz w:val="28"/>
          <w:szCs w:val="28"/>
        </w:rPr>
        <w:t>è</w:t>
      </w:r>
      <w:r w:rsidRPr="00E80F1E">
        <w:rPr>
          <w:sz w:val="28"/>
          <w:szCs w:val="28"/>
        </w:rPr>
        <w:t xml:space="preserve"> servizio di portierato, il portiere».</w:t>
      </w:r>
    </w:p>
    <w:p w:rsidR="00E80F1E" w:rsidRPr="00E80F1E" w:rsidRDefault="00E80F1E" w:rsidP="00E80F1E">
      <w:pPr>
        <w:spacing w:after="0" w:line="360" w:lineRule="auto"/>
        <w:jc w:val="both"/>
        <w:rPr>
          <w:sz w:val="28"/>
          <w:szCs w:val="28"/>
        </w:rPr>
      </w:pPr>
      <w:r w:rsidRPr="00E80F1E">
        <w:rPr>
          <w:sz w:val="28"/>
          <w:szCs w:val="28"/>
        </w:rPr>
        <w:t xml:space="preserve">In caso di consegna non a mani proprie, la notifica si perfeziona con la consegna del plico anche al portiere, senza il compimento di alcun'altra </w:t>
      </w:r>
      <w:r w:rsidR="007C4B68">
        <w:rPr>
          <w:sz w:val="28"/>
          <w:szCs w:val="28"/>
        </w:rPr>
        <w:t>formalità</w:t>
      </w:r>
      <w:r w:rsidRPr="00E80F1E">
        <w:rPr>
          <w:sz w:val="28"/>
          <w:szCs w:val="28"/>
        </w:rPr>
        <w:t>, non essendo applicabile (cfr. da ultimo Cass. 12083/16 cit.) il disposto dell'art. 7, ultimo com</w:t>
      </w:r>
      <w:r w:rsidR="007C4B68">
        <w:rPr>
          <w:sz w:val="28"/>
          <w:szCs w:val="28"/>
        </w:rPr>
        <w:t>m</w:t>
      </w:r>
      <w:r w:rsidRPr="00E80F1E">
        <w:rPr>
          <w:sz w:val="28"/>
          <w:szCs w:val="28"/>
        </w:rPr>
        <w:t xml:space="preserve">a, legge n. 890 (introdotto dal decreto-legge n. 248/2007 art. 36 comma 2-quater, </w:t>
      </w:r>
      <w:r w:rsidR="007C4B68">
        <w:rPr>
          <w:sz w:val="28"/>
          <w:szCs w:val="28"/>
        </w:rPr>
        <w:t>così</w:t>
      </w:r>
      <w:r w:rsidRPr="00E80F1E">
        <w:rPr>
          <w:sz w:val="28"/>
          <w:szCs w:val="28"/>
        </w:rPr>
        <w:t xml:space="preserve"> come convertito, con modificazioni, con la legge n. 31 del 2008) sull'obbligo dell'invio della raccomandata informativa («</w:t>
      </w:r>
      <w:r w:rsidR="00942407">
        <w:rPr>
          <w:sz w:val="28"/>
          <w:szCs w:val="28"/>
        </w:rPr>
        <w:t>s</w:t>
      </w:r>
      <w:r w:rsidRPr="00E80F1E">
        <w:rPr>
          <w:sz w:val="28"/>
          <w:szCs w:val="28"/>
        </w:rPr>
        <w:t xml:space="preserve">e il piego non viene consegnato personalmente al destinatario dell'atto, l'agente postale </w:t>
      </w:r>
      <w:r w:rsidR="007C4B68">
        <w:rPr>
          <w:sz w:val="28"/>
          <w:szCs w:val="28"/>
        </w:rPr>
        <w:t>dà</w:t>
      </w:r>
      <w:r w:rsidRPr="00E80F1E">
        <w:rPr>
          <w:sz w:val="28"/>
          <w:szCs w:val="28"/>
        </w:rPr>
        <w:t xml:space="preserve"> notizia al destinatario medesimo dell'avvenuta notificazione dell'atto a mezzo di lettera raccomandata»; cfr. anche la parallela previsione dell'art. 60, com</w:t>
      </w:r>
      <w:r w:rsidR="007C4B68">
        <w:rPr>
          <w:sz w:val="28"/>
          <w:szCs w:val="28"/>
        </w:rPr>
        <w:t>m</w:t>
      </w:r>
      <w:r w:rsidRPr="00E80F1E">
        <w:rPr>
          <w:sz w:val="28"/>
          <w:szCs w:val="28"/>
        </w:rPr>
        <w:t xml:space="preserve">a </w:t>
      </w:r>
      <w:r w:rsidR="007C4B68">
        <w:rPr>
          <w:sz w:val="28"/>
          <w:szCs w:val="28"/>
        </w:rPr>
        <w:t>1</w:t>
      </w:r>
      <w:r w:rsidRPr="00E80F1E">
        <w:rPr>
          <w:sz w:val="28"/>
          <w:szCs w:val="28"/>
        </w:rPr>
        <w:t>, lettera B</w:t>
      </w:r>
      <w:r w:rsidR="007C4B68">
        <w:rPr>
          <w:sz w:val="28"/>
          <w:szCs w:val="28"/>
        </w:rPr>
        <w:t>-</w:t>
      </w:r>
      <w:r w:rsidRPr="00E80F1E">
        <w:rPr>
          <w:sz w:val="28"/>
          <w:szCs w:val="28"/>
        </w:rPr>
        <w:t>bis per le notificazioni di atti fiscali per il tramite del «messo», che in caso di consegna non a mani proprie «</w:t>
      </w:r>
      <w:r w:rsidR="007C4B68">
        <w:rPr>
          <w:sz w:val="28"/>
          <w:szCs w:val="28"/>
        </w:rPr>
        <w:t>dà</w:t>
      </w:r>
      <w:r w:rsidRPr="00E80F1E">
        <w:rPr>
          <w:sz w:val="28"/>
          <w:szCs w:val="28"/>
        </w:rPr>
        <w:t xml:space="preserve"> notizia dell'avvenuta notificazione dell'atto o dell'avviso a mezzo raccomandata»).</w:t>
      </w:r>
    </w:p>
    <w:p w:rsidR="00E80F1E" w:rsidRPr="00601085" w:rsidRDefault="00E80F1E" w:rsidP="00E80F1E">
      <w:pPr>
        <w:spacing w:after="0" w:line="360" w:lineRule="auto"/>
        <w:jc w:val="both"/>
        <w:rPr>
          <w:b/>
          <w:sz w:val="28"/>
          <w:szCs w:val="28"/>
        </w:rPr>
      </w:pPr>
      <w:r w:rsidRPr="00601085">
        <w:rPr>
          <w:b/>
          <w:sz w:val="28"/>
          <w:szCs w:val="28"/>
        </w:rPr>
        <w:t xml:space="preserve">Constatate le rilevanti deviazioni in </w:t>
      </w:r>
      <w:proofErr w:type="spellStart"/>
      <w:r w:rsidRPr="00601085">
        <w:rPr>
          <w:b/>
          <w:sz w:val="28"/>
          <w:szCs w:val="28"/>
        </w:rPr>
        <w:t>pejus</w:t>
      </w:r>
      <w:proofErr w:type="spellEnd"/>
      <w:r w:rsidRPr="00601085">
        <w:rPr>
          <w:b/>
          <w:sz w:val="28"/>
          <w:szCs w:val="28"/>
        </w:rPr>
        <w:t xml:space="preserve"> rispetto al modello ordinario della legge n. 890/</w:t>
      </w:r>
      <w:r w:rsidR="00942407" w:rsidRPr="00601085">
        <w:rPr>
          <w:b/>
          <w:sz w:val="28"/>
          <w:szCs w:val="28"/>
        </w:rPr>
        <w:t>8</w:t>
      </w:r>
      <w:r w:rsidRPr="00601085">
        <w:rPr>
          <w:b/>
          <w:sz w:val="28"/>
          <w:szCs w:val="28"/>
        </w:rPr>
        <w:t>2 e a maggior ragione rispetto alle notifiche tramite ufficiale giudiziario di cui all'art. 137 ss</w:t>
      </w:r>
      <w:r w:rsidR="007C4B68" w:rsidRPr="00601085">
        <w:rPr>
          <w:b/>
          <w:sz w:val="28"/>
          <w:szCs w:val="28"/>
        </w:rPr>
        <w:t>.</w:t>
      </w:r>
      <w:r w:rsidRPr="00601085">
        <w:rPr>
          <w:b/>
          <w:sz w:val="28"/>
          <w:szCs w:val="28"/>
        </w:rPr>
        <w:t xml:space="preserve"> del codice di procedura civile, ad avviso del collegio le descritte </w:t>
      </w:r>
      <w:r w:rsidR="007C4B68" w:rsidRPr="00601085">
        <w:rPr>
          <w:b/>
          <w:sz w:val="28"/>
          <w:szCs w:val="28"/>
        </w:rPr>
        <w:t>modalità</w:t>
      </w:r>
      <w:r w:rsidRPr="00601085">
        <w:rPr>
          <w:b/>
          <w:sz w:val="28"/>
          <w:szCs w:val="28"/>
        </w:rPr>
        <w:t xml:space="preserve"> </w:t>
      </w:r>
      <w:proofErr w:type="spellStart"/>
      <w:r w:rsidRPr="00601085">
        <w:rPr>
          <w:b/>
          <w:sz w:val="28"/>
          <w:szCs w:val="28"/>
        </w:rPr>
        <w:t>notificatorie</w:t>
      </w:r>
      <w:proofErr w:type="spellEnd"/>
      <w:r w:rsidRPr="00601085">
        <w:rPr>
          <w:b/>
          <w:sz w:val="28"/>
          <w:szCs w:val="28"/>
        </w:rPr>
        <w:t xml:space="preserve"> ex art. 26 del decreto del Presidente della Repubblica n. 602 delle cartelle di pagamento appaiono talmente sommarie da non apparire ragionevolmente compatibili con gli standard attuali ormai generalmente acquisiti nell'ordinamento positivo anche per le notifiche a mezzo posta</w:t>
      </w:r>
      <w:r w:rsidR="00601085">
        <w:rPr>
          <w:b/>
          <w:sz w:val="28"/>
          <w:szCs w:val="28"/>
        </w:rPr>
        <w:t>,</w:t>
      </w:r>
      <w:r w:rsidRPr="00601085">
        <w:rPr>
          <w:b/>
          <w:sz w:val="28"/>
          <w:szCs w:val="28"/>
        </w:rPr>
        <w:t xml:space="preserve"> ex legge n. 890 del </w:t>
      </w:r>
      <w:r w:rsidRPr="00601085">
        <w:rPr>
          <w:b/>
          <w:sz w:val="28"/>
          <w:szCs w:val="28"/>
        </w:rPr>
        <w:lastRenderedPageBreak/>
        <w:t xml:space="preserve">1982 delle garanzie riconosciute al destinatario ai fini della </w:t>
      </w:r>
      <w:r w:rsidR="007C4B68" w:rsidRPr="00601085">
        <w:rPr>
          <w:b/>
          <w:sz w:val="28"/>
          <w:szCs w:val="28"/>
        </w:rPr>
        <w:t>conoscibilità</w:t>
      </w:r>
      <w:r w:rsidRPr="00601085">
        <w:rPr>
          <w:b/>
          <w:sz w:val="28"/>
          <w:szCs w:val="28"/>
        </w:rPr>
        <w:t xml:space="preserve"> effettiva dell'atto, sulla base dei recenti sviluppi della giurisprudenza della Corte </w:t>
      </w:r>
      <w:r w:rsidR="007C4B68" w:rsidRPr="00601085">
        <w:rPr>
          <w:b/>
          <w:sz w:val="28"/>
          <w:szCs w:val="28"/>
        </w:rPr>
        <w:t>C</w:t>
      </w:r>
      <w:r w:rsidRPr="00601085">
        <w:rPr>
          <w:b/>
          <w:sz w:val="28"/>
          <w:szCs w:val="28"/>
        </w:rPr>
        <w:t xml:space="preserve">ostituzionale in materia di notificazioni e di diritto di difesa, di salvaguardia del contraddittorio e della </w:t>
      </w:r>
      <w:r w:rsidR="007C4B68" w:rsidRPr="00601085">
        <w:rPr>
          <w:b/>
          <w:sz w:val="28"/>
          <w:szCs w:val="28"/>
        </w:rPr>
        <w:t>parità</w:t>
      </w:r>
      <w:r w:rsidRPr="00601085">
        <w:rPr>
          <w:b/>
          <w:sz w:val="28"/>
          <w:szCs w:val="28"/>
        </w:rPr>
        <w:t xml:space="preserve"> delle armi ex art, 3, 24 e 111 della Costituzione.</w:t>
      </w:r>
    </w:p>
    <w:p w:rsidR="00E80F1E" w:rsidRPr="00E80F1E" w:rsidRDefault="00E80F1E" w:rsidP="00E80F1E">
      <w:pPr>
        <w:spacing w:after="0" w:line="360" w:lineRule="auto"/>
        <w:jc w:val="both"/>
        <w:rPr>
          <w:sz w:val="28"/>
          <w:szCs w:val="28"/>
        </w:rPr>
      </w:pPr>
      <w:r w:rsidRPr="00E80F1E">
        <w:rPr>
          <w:sz w:val="28"/>
          <w:szCs w:val="28"/>
        </w:rPr>
        <w:t xml:space="preserve">Il collegio ha ben presente che la giurisprudenza costituzionale, in materia di notificazioni, riconosce al legislatore ampia </w:t>
      </w:r>
      <w:r w:rsidR="007C4B68">
        <w:rPr>
          <w:sz w:val="28"/>
          <w:szCs w:val="28"/>
        </w:rPr>
        <w:t>discrezionalità</w:t>
      </w:r>
      <w:r w:rsidRPr="00E80F1E">
        <w:rPr>
          <w:sz w:val="28"/>
          <w:szCs w:val="28"/>
        </w:rPr>
        <w:t xml:space="preserve">, in particolare nel bilanciamento tra l'interesse del notificante e quello del </w:t>
      </w:r>
      <w:proofErr w:type="spellStart"/>
      <w:r w:rsidRPr="00E80F1E">
        <w:rPr>
          <w:sz w:val="28"/>
          <w:szCs w:val="28"/>
        </w:rPr>
        <w:t>notificatario</w:t>
      </w:r>
      <w:proofErr w:type="spellEnd"/>
      <w:r w:rsidRPr="00E80F1E">
        <w:rPr>
          <w:sz w:val="28"/>
          <w:szCs w:val="28"/>
        </w:rPr>
        <w:t>.</w:t>
      </w:r>
    </w:p>
    <w:p w:rsidR="00E80F1E" w:rsidRPr="00E80F1E" w:rsidRDefault="00E80F1E" w:rsidP="00E80F1E">
      <w:pPr>
        <w:spacing w:after="0" w:line="360" w:lineRule="auto"/>
        <w:jc w:val="both"/>
        <w:rPr>
          <w:sz w:val="28"/>
          <w:szCs w:val="28"/>
        </w:rPr>
      </w:pPr>
      <w:r w:rsidRPr="00E80F1E">
        <w:rPr>
          <w:sz w:val="28"/>
          <w:szCs w:val="28"/>
        </w:rPr>
        <w:t xml:space="preserve">Peraltro </w:t>
      </w:r>
      <w:r w:rsidR="007C4B68">
        <w:rPr>
          <w:sz w:val="28"/>
          <w:szCs w:val="28"/>
        </w:rPr>
        <w:t>già</w:t>
      </w:r>
      <w:r w:rsidRPr="00E80F1E">
        <w:rPr>
          <w:sz w:val="28"/>
          <w:szCs w:val="28"/>
        </w:rPr>
        <w:t xml:space="preserve"> con la sentenza n. 346 del 1998 </w:t>
      </w:r>
      <w:r w:rsidR="007C4B68">
        <w:rPr>
          <w:sz w:val="28"/>
          <w:szCs w:val="28"/>
        </w:rPr>
        <w:t>è</w:t>
      </w:r>
      <w:r w:rsidRPr="00E80F1E">
        <w:rPr>
          <w:sz w:val="28"/>
          <w:szCs w:val="28"/>
        </w:rPr>
        <w:t xml:space="preserve"> stato precisato che la </w:t>
      </w:r>
      <w:r w:rsidR="007C4B68">
        <w:rPr>
          <w:sz w:val="28"/>
          <w:szCs w:val="28"/>
        </w:rPr>
        <w:t>discrezionalità</w:t>
      </w:r>
      <w:r w:rsidRPr="00E80F1E">
        <w:rPr>
          <w:sz w:val="28"/>
          <w:szCs w:val="28"/>
        </w:rPr>
        <w:t xml:space="preserve"> del legislatore non puo' pregiudicare il «fondamentale diritto del destinatario della notificazione ad essere posto in condizione di conoscere, con l'ordinaria diligenza e senza </w:t>
      </w:r>
      <w:r w:rsidR="007C4B68">
        <w:rPr>
          <w:sz w:val="28"/>
          <w:szCs w:val="28"/>
        </w:rPr>
        <w:t>necessità</w:t>
      </w:r>
      <w:r w:rsidRPr="00E80F1E">
        <w:rPr>
          <w:sz w:val="28"/>
          <w:szCs w:val="28"/>
        </w:rPr>
        <w:t xml:space="preserve"> di effettuare ricerche di particolare </w:t>
      </w:r>
      <w:r w:rsidR="007C4B68">
        <w:rPr>
          <w:sz w:val="28"/>
          <w:szCs w:val="28"/>
        </w:rPr>
        <w:t>complessità</w:t>
      </w:r>
      <w:r w:rsidRPr="00E80F1E">
        <w:rPr>
          <w:sz w:val="28"/>
          <w:szCs w:val="28"/>
        </w:rPr>
        <w:t xml:space="preserve">, il contenuto dell'atto e l'oggetto della procedura instaurata nei suoi confronti, non potendo ridursi il diritto di difesa del destinatario medesimo ad una garanzia di </w:t>
      </w:r>
      <w:r w:rsidR="007C4B68">
        <w:rPr>
          <w:sz w:val="28"/>
          <w:szCs w:val="28"/>
        </w:rPr>
        <w:t>conoscibilità</w:t>
      </w:r>
      <w:r w:rsidRPr="00E80F1E">
        <w:rPr>
          <w:sz w:val="28"/>
          <w:szCs w:val="28"/>
        </w:rPr>
        <w:t xml:space="preserve"> puramente teorica dell'atto notificatogli».</w:t>
      </w:r>
    </w:p>
    <w:p w:rsidR="00E80F1E" w:rsidRPr="00601085" w:rsidRDefault="00E80F1E" w:rsidP="00E80F1E">
      <w:pPr>
        <w:spacing w:after="0" w:line="360" w:lineRule="auto"/>
        <w:jc w:val="both"/>
        <w:rPr>
          <w:b/>
          <w:sz w:val="28"/>
          <w:szCs w:val="28"/>
        </w:rPr>
      </w:pPr>
      <w:r w:rsidRPr="00601085">
        <w:rPr>
          <w:b/>
          <w:sz w:val="28"/>
          <w:szCs w:val="28"/>
        </w:rPr>
        <w:t xml:space="preserve">La sentenza n. 366/2007 ha ribadito che «un limite inderogabile alla </w:t>
      </w:r>
      <w:r w:rsidR="007C4B68" w:rsidRPr="00601085">
        <w:rPr>
          <w:b/>
          <w:sz w:val="28"/>
          <w:szCs w:val="28"/>
        </w:rPr>
        <w:t>discrezionalità</w:t>
      </w:r>
      <w:r w:rsidRPr="00601085">
        <w:rPr>
          <w:b/>
          <w:sz w:val="28"/>
          <w:szCs w:val="28"/>
        </w:rPr>
        <w:t xml:space="preserve"> del legislatore</w:t>
      </w:r>
      <w:r w:rsidR="007C4B68" w:rsidRPr="00601085">
        <w:rPr>
          <w:b/>
          <w:sz w:val="28"/>
          <w:szCs w:val="28"/>
        </w:rPr>
        <w:t xml:space="preserve"> </w:t>
      </w:r>
      <w:r w:rsidRPr="00601085">
        <w:rPr>
          <w:b/>
          <w:sz w:val="28"/>
          <w:szCs w:val="28"/>
        </w:rPr>
        <w:t>nella</w:t>
      </w:r>
      <w:r w:rsidR="007C4B68" w:rsidRPr="00601085">
        <w:rPr>
          <w:b/>
          <w:sz w:val="28"/>
          <w:szCs w:val="28"/>
        </w:rPr>
        <w:t xml:space="preserve"> </w:t>
      </w:r>
      <w:r w:rsidRPr="00601085">
        <w:rPr>
          <w:b/>
          <w:sz w:val="28"/>
          <w:szCs w:val="28"/>
        </w:rPr>
        <w:t>disciplina</w:t>
      </w:r>
      <w:r w:rsidR="007C4B68" w:rsidRPr="00601085">
        <w:rPr>
          <w:b/>
          <w:sz w:val="28"/>
          <w:szCs w:val="28"/>
        </w:rPr>
        <w:t xml:space="preserve"> </w:t>
      </w:r>
      <w:r w:rsidRPr="00601085">
        <w:rPr>
          <w:b/>
          <w:sz w:val="28"/>
          <w:szCs w:val="28"/>
        </w:rPr>
        <w:t>delle</w:t>
      </w:r>
      <w:r w:rsidR="007C4B68" w:rsidRPr="00601085">
        <w:rPr>
          <w:b/>
          <w:sz w:val="28"/>
          <w:szCs w:val="28"/>
        </w:rPr>
        <w:t xml:space="preserve"> </w:t>
      </w:r>
      <w:r w:rsidRPr="00601085">
        <w:rPr>
          <w:b/>
          <w:sz w:val="28"/>
          <w:szCs w:val="28"/>
        </w:rPr>
        <w:t xml:space="preserve">notificazioni </w:t>
      </w:r>
      <w:r w:rsidR="007C4B68" w:rsidRPr="00601085">
        <w:rPr>
          <w:b/>
          <w:sz w:val="28"/>
          <w:szCs w:val="28"/>
        </w:rPr>
        <w:t>è</w:t>
      </w:r>
      <w:r w:rsidRPr="00601085">
        <w:rPr>
          <w:b/>
          <w:sz w:val="28"/>
          <w:szCs w:val="28"/>
        </w:rPr>
        <w:t xml:space="preserve"> rappresentato dall'esigenza di garantire al </w:t>
      </w:r>
      <w:proofErr w:type="spellStart"/>
      <w:r w:rsidRPr="00601085">
        <w:rPr>
          <w:b/>
          <w:sz w:val="28"/>
          <w:szCs w:val="28"/>
        </w:rPr>
        <w:t>notificatario</w:t>
      </w:r>
      <w:proofErr w:type="spellEnd"/>
      <w:r w:rsidRPr="00601085">
        <w:rPr>
          <w:b/>
          <w:sz w:val="28"/>
          <w:szCs w:val="28"/>
        </w:rPr>
        <w:t xml:space="preserve"> l'effettiva </w:t>
      </w:r>
      <w:r w:rsidR="007C4B68" w:rsidRPr="00601085">
        <w:rPr>
          <w:b/>
          <w:sz w:val="28"/>
          <w:szCs w:val="28"/>
        </w:rPr>
        <w:t>possibilità</w:t>
      </w:r>
      <w:r w:rsidRPr="00601085">
        <w:rPr>
          <w:b/>
          <w:sz w:val="28"/>
          <w:szCs w:val="28"/>
        </w:rPr>
        <w:t xml:space="preserve"> di una tempestiva conoscenza dell'atto notificato e, quindi, l'esercizio del suo diritto di difesa» (conf. sentenza n. 360 del 2003).</w:t>
      </w:r>
    </w:p>
    <w:p w:rsidR="00E80F1E" w:rsidRPr="00E80F1E" w:rsidRDefault="007C4B68" w:rsidP="00E80F1E">
      <w:pPr>
        <w:spacing w:after="0" w:line="360" w:lineRule="auto"/>
        <w:jc w:val="both"/>
        <w:rPr>
          <w:sz w:val="28"/>
          <w:szCs w:val="28"/>
        </w:rPr>
      </w:pPr>
      <w:r>
        <w:rPr>
          <w:sz w:val="28"/>
          <w:szCs w:val="28"/>
        </w:rPr>
        <w:t>Più</w:t>
      </w:r>
      <w:r w:rsidR="00E80F1E" w:rsidRPr="00E80F1E">
        <w:rPr>
          <w:sz w:val="28"/>
          <w:szCs w:val="28"/>
        </w:rPr>
        <w:t xml:space="preserve"> recentemente, </w:t>
      </w:r>
      <w:r w:rsidR="007E36F9">
        <w:rPr>
          <w:sz w:val="28"/>
          <w:szCs w:val="28"/>
        </w:rPr>
        <w:t>è</w:t>
      </w:r>
      <w:r w:rsidR="00E80F1E" w:rsidRPr="00E80F1E">
        <w:rPr>
          <w:sz w:val="28"/>
          <w:szCs w:val="28"/>
        </w:rPr>
        <w:t xml:space="preserve"> stato sottolineato che nel valutare «il non ragionevole bilanciamento» tra gli interessi del notificante e quelli del destinatario, in materia nella quale, invece, le garanzie di difesa e di tutela del contraddittorio devono essere improntate a canoni di </w:t>
      </w:r>
      <w:r>
        <w:rPr>
          <w:sz w:val="28"/>
          <w:szCs w:val="28"/>
        </w:rPr>
        <w:t>effettività</w:t>
      </w:r>
      <w:r w:rsidR="00E80F1E" w:rsidRPr="00E80F1E">
        <w:rPr>
          <w:sz w:val="28"/>
          <w:szCs w:val="28"/>
        </w:rPr>
        <w:t xml:space="preserve"> e di </w:t>
      </w:r>
      <w:r w:rsidR="007E36F9">
        <w:rPr>
          <w:sz w:val="28"/>
          <w:szCs w:val="28"/>
        </w:rPr>
        <w:t>parità</w:t>
      </w:r>
      <w:r w:rsidR="00E80F1E" w:rsidRPr="00E80F1E">
        <w:rPr>
          <w:sz w:val="28"/>
          <w:szCs w:val="28"/>
        </w:rPr>
        <w:t xml:space="preserve">, «occorre considerare che ormai sul notificante da quando </w:t>
      </w:r>
      <w:r>
        <w:rPr>
          <w:sz w:val="28"/>
          <w:szCs w:val="28"/>
        </w:rPr>
        <w:t>è</w:t>
      </w:r>
      <w:r w:rsidR="00E80F1E" w:rsidRPr="00E80F1E">
        <w:rPr>
          <w:sz w:val="28"/>
          <w:szCs w:val="28"/>
        </w:rPr>
        <w:t xml:space="preserve"> stata introdotta la scissione ... non gravano piu' i rischi connessi ai tempi del procedimento </w:t>
      </w:r>
      <w:proofErr w:type="spellStart"/>
      <w:r w:rsidR="00E80F1E" w:rsidRPr="00E80F1E">
        <w:rPr>
          <w:sz w:val="28"/>
          <w:szCs w:val="28"/>
        </w:rPr>
        <w:t>notiticatorio</w:t>
      </w:r>
      <w:proofErr w:type="spellEnd"/>
      <w:r w:rsidR="00E80F1E" w:rsidRPr="00E80F1E">
        <w:rPr>
          <w:sz w:val="28"/>
          <w:szCs w:val="28"/>
        </w:rPr>
        <w:t>» (sentenza n. 3 del 2010).</w:t>
      </w:r>
    </w:p>
    <w:p w:rsidR="00E80F1E" w:rsidRPr="00E80F1E" w:rsidRDefault="00E80F1E" w:rsidP="00E80F1E">
      <w:pPr>
        <w:spacing w:after="0" w:line="360" w:lineRule="auto"/>
        <w:jc w:val="both"/>
        <w:rPr>
          <w:sz w:val="28"/>
          <w:szCs w:val="28"/>
        </w:rPr>
      </w:pPr>
      <w:r w:rsidRPr="00E80F1E">
        <w:rPr>
          <w:sz w:val="28"/>
          <w:szCs w:val="28"/>
        </w:rPr>
        <w:t xml:space="preserve">Proprio in tema di notificazione di atti fiscali, la sentenza costituzionale, n. 366 del 7 novembre 2007, sul presupposto che «un limite inderogabile alla </w:t>
      </w:r>
      <w:r w:rsidR="007C4B68">
        <w:rPr>
          <w:sz w:val="28"/>
          <w:szCs w:val="28"/>
        </w:rPr>
        <w:t>discrezionalità</w:t>
      </w:r>
      <w:r w:rsidRPr="00E80F1E">
        <w:rPr>
          <w:sz w:val="28"/>
          <w:szCs w:val="28"/>
        </w:rPr>
        <w:t xml:space="preserve"> del </w:t>
      </w:r>
      <w:r w:rsidRPr="00E80F1E">
        <w:rPr>
          <w:sz w:val="28"/>
          <w:szCs w:val="28"/>
        </w:rPr>
        <w:lastRenderedPageBreak/>
        <w:t xml:space="preserve">legislatore nella disciplina delle notificazioni </w:t>
      </w:r>
      <w:r w:rsidR="007C4B68">
        <w:rPr>
          <w:sz w:val="28"/>
          <w:szCs w:val="28"/>
        </w:rPr>
        <w:t>è</w:t>
      </w:r>
      <w:r w:rsidRPr="00E80F1E">
        <w:rPr>
          <w:sz w:val="28"/>
          <w:szCs w:val="28"/>
        </w:rPr>
        <w:t xml:space="preserve"> rappresentato dall'esigenza di garantire al </w:t>
      </w:r>
      <w:proofErr w:type="spellStart"/>
      <w:r w:rsidRPr="00E80F1E">
        <w:rPr>
          <w:sz w:val="28"/>
          <w:szCs w:val="28"/>
        </w:rPr>
        <w:t>notificatario</w:t>
      </w:r>
      <w:proofErr w:type="spellEnd"/>
      <w:r w:rsidRPr="00E80F1E">
        <w:rPr>
          <w:sz w:val="28"/>
          <w:szCs w:val="28"/>
        </w:rPr>
        <w:t xml:space="preserve"> l'effettiva </w:t>
      </w:r>
      <w:r w:rsidR="007C4B68">
        <w:rPr>
          <w:sz w:val="28"/>
          <w:szCs w:val="28"/>
        </w:rPr>
        <w:t>possibilità</w:t>
      </w:r>
      <w:r w:rsidRPr="00E80F1E">
        <w:rPr>
          <w:sz w:val="28"/>
          <w:szCs w:val="28"/>
        </w:rPr>
        <w:t xml:space="preserve"> di una tempestiva conoscenza dell'atto notificato e, quindi, l'esercizio del suo diritto di difesa») ha dichiarato </w:t>
      </w:r>
      <w:r w:rsidR="007C4B68">
        <w:rPr>
          <w:sz w:val="28"/>
          <w:szCs w:val="28"/>
        </w:rPr>
        <w:t>l’incostituzionalità</w:t>
      </w:r>
      <w:r w:rsidRPr="00E80F1E">
        <w:rPr>
          <w:sz w:val="28"/>
          <w:szCs w:val="28"/>
        </w:rPr>
        <w:t xml:space="preserve"> delle disposizioni (art. 60 del decreto del Presidente della Repubblica n. 600/73 e art. 26 del decreto del Presidente della Repubblica n. 602/73) che per il residente all'estero iscritti all'AIRE impongono di eseguire le notificazioni a lui destinate solo mediante il deposito di copia dell'atto nella casa comunale e l'affissione dell'avviso di deposito nell'albo dello stesso comune (</w:t>
      </w:r>
      <w:proofErr w:type="spellStart"/>
      <w:r w:rsidR="007E36F9">
        <w:rPr>
          <w:sz w:val="28"/>
          <w:szCs w:val="28"/>
        </w:rPr>
        <w:t>perchè</w:t>
      </w:r>
      <w:proofErr w:type="spellEnd"/>
      <w:r w:rsidRPr="00E80F1E">
        <w:rPr>
          <w:sz w:val="28"/>
          <w:szCs w:val="28"/>
        </w:rPr>
        <w:t xml:space="preserve"> tale normativa non garantiva al </w:t>
      </w:r>
      <w:proofErr w:type="spellStart"/>
      <w:r w:rsidRPr="00E80F1E">
        <w:rPr>
          <w:sz w:val="28"/>
          <w:szCs w:val="28"/>
        </w:rPr>
        <w:t>notificatario</w:t>
      </w:r>
      <w:proofErr w:type="spellEnd"/>
      <w:r w:rsidRPr="00E80F1E">
        <w:rPr>
          <w:sz w:val="28"/>
          <w:szCs w:val="28"/>
        </w:rPr>
        <w:t xml:space="preserve"> non </w:t>
      </w:r>
      <w:proofErr w:type="spellStart"/>
      <w:r w:rsidRPr="00E80F1E">
        <w:rPr>
          <w:sz w:val="28"/>
          <w:szCs w:val="28"/>
        </w:rPr>
        <w:t>piu'</w:t>
      </w:r>
      <w:proofErr w:type="spellEnd"/>
      <w:r w:rsidRPr="00E80F1E">
        <w:rPr>
          <w:sz w:val="28"/>
          <w:szCs w:val="28"/>
        </w:rPr>
        <w:t xml:space="preserve"> residente in Italia «l'effettiva conoscenza degli atti a lui destinati», senza che «a tale diminuita garanzia» corrisponda a «un apprezzabile interesse dell'amministrazione finanziaria notificante a non subire eccessivi aggravi nell'espletamento della procedura </w:t>
      </w:r>
      <w:proofErr w:type="spellStart"/>
      <w:r w:rsidRPr="00E80F1E">
        <w:rPr>
          <w:sz w:val="28"/>
          <w:szCs w:val="28"/>
        </w:rPr>
        <w:t>notificatoria</w:t>
      </w:r>
      <w:proofErr w:type="spellEnd"/>
      <w:r w:rsidRPr="00E80F1E">
        <w:rPr>
          <w:sz w:val="28"/>
          <w:szCs w:val="28"/>
        </w:rPr>
        <w:t>»).</w:t>
      </w:r>
    </w:p>
    <w:p w:rsidR="00E80F1E" w:rsidRPr="00E80F1E" w:rsidRDefault="00E80F1E" w:rsidP="00E80F1E">
      <w:pPr>
        <w:spacing w:after="0" w:line="360" w:lineRule="auto"/>
        <w:jc w:val="both"/>
        <w:rPr>
          <w:sz w:val="28"/>
          <w:szCs w:val="28"/>
        </w:rPr>
      </w:pPr>
      <w:r w:rsidRPr="00E80F1E">
        <w:rPr>
          <w:sz w:val="28"/>
          <w:szCs w:val="28"/>
        </w:rPr>
        <w:t xml:space="preserve">Specificamente con riguardo a notificazione di cartella (a destinatario relativamente irreperibile), </w:t>
      </w:r>
      <w:r w:rsidR="007C4B68">
        <w:rPr>
          <w:sz w:val="28"/>
          <w:szCs w:val="28"/>
        </w:rPr>
        <w:t>è</w:t>
      </w:r>
      <w:r w:rsidRPr="00E80F1E">
        <w:rPr>
          <w:sz w:val="28"/>
          <w:szCs w:val="28"/>
        </w:rPr>
        <w:t xml:space="preserve"> stato ritenuto (Corte </w:t>
      </w:r>
      <w:r w:rsidR="007C4B68">
        <w:rPr>
          <w:sz w:val="28"/>
          <w:szCs w:val="28"/>
        </w:rPr>
        <w:t>C</w:t>
      </w:r>
      <w:r w:rsidRPr="00E80F1E">
        <w:rPr>
          <w:sz w:val="28"/>
          <w:szCs w:val="28"/>
        </w:rPr>
        <w:t xml:space="preserve">ostituzionale, sentenza n. 258 del 2012) che non </w:t>
      </w:r>
      <w:r w:rsidR="007C4B68">
        <w:rPr>
          <w:sz w:val="28"/>
          <w:szCs w:val="28"/>
        </w:rPr>
        <w:t>è</w:t>
      </w:r>
      <w:r w:rsidRPr="00E80F1E">
        <w:rPr>
          <w:sz w:val="28"/>
          <w:szCs w:val="28"/>
        </w:rPr>
        <w:t xml:space="preserve"> «riconducibile ad alcuna ragionevole ratio, con violazione dell'art. 3 della Costituzione» che la notificazione di una cartella di pagamento nei casi previsti dall'art. 140 del codice di procedura civile possa avvenire ex art. 60 con la semplice affissione nell'albo del Comune, secondo «</w:t>
      </w:r>
      <w:r w:rsidR="007C4B68">
        <w:rPr>
          <w:sz w:val="28"/>
          <w:szCs w:val="28"/>
        </w:rPr>
        <w:t>modalità</w:t>
      </w:r>
      <w:r w:rsidRPr="00E80F1E">
        <w:rPr>
          <w:sz w:val="28"/>
          <w:szCs w:val="28"/>
        </w:rPr>
        <w:t xml:space="preserve"> improntate ad un criterio legale tipico di conoscenza della cartella», </w:t>
      </w:r>
      <w:r w:rsidR="007C4B68">
        <w:rPr>
          <w:sz w:val="28"/>
          <w:szCs w:val="28"/>
        </w:rPr>
        <w:t>anzich</w:t>
      </w:r>
      <w:r w:rsidR="007E36F9">
        <w:rPr>
          <w:sz w:val="28"/>
          <w:szCs w:val="28"/>
        </w:rPr>
        <w:t>é</w:t>
      </w:r>
      <w:r w:rsidRPr="00E80F1E">
        <w:rPr>
          <w:sz w:val="28"/>
          <w:szCs w:val="28"/>
        </w:rPr>
        <w:t xml:space="preserve"> secondo il «criterio di effettiva </w:t>
      </w:r>
      <w:r w:rsidR="007C4B68">
        <w:rPr>
          <w:sz w:val="28"/>
          <w:szCs w:val="28"/>
        </w:rPr>
        <w:t>conoscibilità</w:t>
      </w:r>
      <w:r w:rsidRPr="00E80F1E">
        <w:rPr>
          <w:sz w:val="28"/>
          <w:szCs w:val="28"/>
        </w:rPr>
        <w:t xml:space="preserve"> dell'atto».</w:t>
      </w:r>
    </w:p>
    <w:p w:rsidR="00E80F1E" w:rsidRPr="00601085" w:rsidRDefault="007C4B68" w:rsidP="00E80F1E">
      <w:pPr>
        <w:spacing w:after="0" w:line="360" w:lineRule="auto"/>
        <w:jc w:val="both"/>
        <w:rPr>
          <w:b/>
          <w:sz w:val="28"/>
          <w:szCs w:val="28"/>
        </w:rPr>
      </w:pPr>
      <w:proofErr w:type="gramStart"/>
      <w:r w:rsidRPr="00601085">
        <w:rPr>
          <w:b/>
          <w:sz w:val="28"/>
          <w:szCs w:val="28"/>
        </w:rPr>
        <w:t>E’</w:t>
      </w:r>
      <w:proofErr w:type="gramEnd"/>
      <w:r w:rsidR="00E80F1E" w:rsidRPr="00601085">
        <w:rPr>
          <w:b/>
          <w:sz w:val="28"/>
          <w:szCs w:val="28"/>
        </w:rPr>
        <w:t xml:space="preserve"> inoltre ricorrente, in generale, l'affermazione (sentenza n. 46 del 1998) che «Deve pertanto escludersi che la </w:t>
      </w:r>
      <w:r w:rsidRPr="00601085">
        <w:rPr>
          <w:b/>
          <w:sz w:val="28"/>
          <w:szCs w:val="28"/>
        </w:rPr>
        <w:t>diversità</w:t>
      </w:r>
      <w:r w:rsidR="00E80F1E" w:rsidRPr="00601085">
        <w:rPr>
          <w:b/>
          <w:sz w:val="28"/>
          <w:szCs w:val="28"/>
        </w:rPr>
        <w:t xml:space="preserve"> di disciplina tra le notificazioni a mezzo posta e quelle personalmente eseguite</w:t>
      </w:r>
      <w:r w:rsidRPr="00601085">
        <w:rPr>
          <w:b/>
          <w:sz w:val="28"/>
          <w:szCs w:val="28"/>
        </w:rPr>
        <w:t xml:space="preserve"> </w:t>
      </w:r>
      <w:r w:rsidR="00E80F1E" w:rsidRPr="00601085">
        <w:rPr>
          <w:b/>
          <w:sz w:val="28"/>
          <w:szCs w:val="28"/>
        </w:rPr>
        <w:t xml:space="preserve">dall'ufficiale giudiziario possa comportare una menomazione delle garanzie del destinatario delle prime» (cfr. anche Corte </w:t>
      </w:r>
      <w:r w:rsidR="00942407" w:rsidRPr="00601085">
        <w:rPr>
          <w:b/>
          <w:sz w:val="28"/>
          <w:szCs w:val="28"/>
        </w:rPr>
        <w:t>C</w:t>
      </w:r>
      <w:r w:rsidR="00E80F1E" w:rsidRPr="00601085">
        <w:rPr>
          <w:b/>
          <w:sz w:val="28"/>
          <w:szCs w:val="28"/>
        </w:rPr>
        <w:t>ostituzionale, sentenza n. 3 del 2010).</w:t>
      </w:r>
    </w:p>
    <w:p w:rsidR="00E80F1E" w:rsidRPr="00E80F1E" w:rsidRDefault="00E80F1E" w:rsidP="00E80F1E">
      <w:pPr>
        <w:spacing w:after="0" w:line="360" w:lineRule="auto"/>
        <w:jc w:val="both"/>
        <w:rPr>
          <w:sz w:val="28"/>
          <w:szCs w:val="28"/>
        </w:rPr>
      </w:pPr>
      <w:r w:rsidRPr="00E80F1E">
        <w:rPr>
          <w:sz w:val="28"/>
          <w:szCs w:val="28"/>
        </w:rPr>
        <w:t>Alla</w:t>
      </w:r>
      <w:r w:rsidR="00264389">
        <w:rPr>
          <w:sz w:val="28"/>
          <w:szCs w:val="28"/>
        </w:rPr>
        <w:t xml:space="preserve"> </w:t>
      </w:r>
      <w:r w:rsidRPr="00E80F1E">
        <w:rPr>
          <w:sz w:val="28"/>
          <w:szCs w:val="28"/>
        </w:rPr>
        <w:t>luce</w:t>
      </w:r>
      <w:r w:rsidR="00264389">
        <w:rPr>
          <w:sz w:val="28"/>
          <w:szCs w:val="28"/>
        </w:rPr>
        <w:t xml:space="preserve"> </w:t>
      </w:r>
      <w:r w:rsidRPr="00E80F1E">
        <w:rPr>
          <w:sz w:val="28"/>
          <w:szCs w:val="28"/>
        </w:rPr>
        <w:t>di</w:t>
      </w:r>
      <w:r w:rsidR="00264389">
        <w:rPr>
          <w:sz w:val="28"/>
          <w:szCs w:val="28"/>
        </w:rPr>
        <w:t xml:space="preserve"> </w:t>
      </w:r>
      <w:r w:rsidRPr="00E80F1E">
        <w:rPr>
          <w:sz w:val="28"/>
          <w:szCs w:val="28"/>
        </w:rPr>
        <w:t>questi</w:t>
      </w:r>
      <w:r w:rsidR="00264389">
        <w:rPr>
          <w:sz w:val="28"/>
          <w:szCs w:val="28"/>
        </w:rPr>
        <w:t xml:space="preserve"> </w:t>
      </w:r>
      <w:r w:rsidRPr="00E80F1E">
        <w:rPr>
          <w:sz w:val="28"/>
          <w:szCs w:val="28"/>
        </w:rPr>
        <w:t>orientamenti</w:t>
      </w:r>
      <w:r w:rsidR="00264389">
        <w:rPr>
          <w:sz w:val="28"/>
          <w:szCs w:val="28"/>
        </w:rPr>
        <w:t xml:space="preserve"> </w:t>
      </w:r>
      <w:r w:rsidRPr="00E80F1E">
        <w:rPr>
          <w:sz w:val="28"/>
          <w:szCs w:val="28"/>
        </w:rPr>
        <w:t>della</w:t>
      </w:r>
      <w:r w:rsidR="004B23DF">
        <w:rPr>
          <w:sz w:val="28"/>
          <w:szCs w:val="28"/>
        </w:rPr>
        <w:t xml:space="preserve"> </w:t>
      </w:r>
      <w:r w:rsidRPr="00E80F1E">
        <w:rPr>
          <w:sz w:val="28"/>
          <w:szCs w:val="28"/>
        </w:rPr>
        <w:t>giurisprudenza</w:t>
      </w:r>
      <w:r w:rsidR="00264389">
        <w:rPr>
          <w:sz w:val="28"/>
          <w:szCs w:val="28"/>
        </w:rPr>
        <w:t xml:space="preserve"> </w:t>
      </w:r>
      <w:r w:rsidRPr="00E80F1E">
        <w:rPr>
          <w:sz w:val="28"/>
          <w:szCs w:val="28"/>
        </w:rPr>
        <w:t>costituzionale, ritiene il collegio a</w:t>
      </w:r>
      <w:r w:rsidR="00264389">
        <w:rPr>
          <w:sz w:val="28"/>
          <w:szCs w:val="28"/>
        </w:rPr>
        <w:t xml:space="preserve"> </w:t>
      </w:r>
      <w:r w:rsidRPr="00E80F1E">
        <w:rPr>
          <w:sz w:val="28"/>
          <w:szCs w:val="28"/>
        </w:rPr>
        <w:t>completamento</w:t>
      </w:r>
      <w:r w:rsidR="00264389">
        <w:rPr>
          <w:sz w:val="28"/>
          <w:szCs w:val="28"/>
        </w:rPr>
        <w:t xml:space="preserve"> </w:t>
      </w:r>
      <w:r w:rsidRPr="00E80F1E">
        <w:rPr>
          <w:sz w:val="28"/>
          <w:szCs w:val="28"/>
        </w:rPr>
        <w:t>delle</w:t>
      </w:r>
      <w:r w:rsidR="00264389">
        <w:rPr>
          <w:sz w:val="28"/>
          <w:szCs w:val="28"/>
        </w:rPr>
        <w:t xml:space="preserve"> </w:t>
      </w:r>
      <w:r w:rsidRPr="00E80F1E">
        <w:rPr>
          <w:sz w:val="28"/>
          <w:szCs w:val="28"/>
        </w:rPr>
        <w:t xml:space="preserve">osservazioni </w:t>
      </w:r>
      <w:r w:rsidR="00264389">
        <w:rPr>
          <w:sz w:val="28"/>
          <w:szCs w:val="28"/>
        </w:rPr>
        <w:t>già</w:t>
      </w:r>
      <w:r w:rsidRPr="00E80F1E">
        <w:rPr>
          <w:sz w:val="28"/>
          <w:szCs w:val="28"/>
        </w:rPr>
        <w:t xml:space="preserve"> svolte di ulteriormente puntualizzare che:</w:t>
      </w:r>
    </w:p>
    <w:p w:rsidR="00E80F1E" w:rsidRPr="00601085" w:rsidRDefault="00E80F1E" w:rsidP="00264389">
      <w:pPr>
        <w:pStyle w:val="Paragrafoelenco"/>
        <w:numPr>
          <w:ilvl w:val="0"/>
          <w:numId w:val="2"/>
        </w:numPr>
        <w:spacing w:after="0" w:line="360" w:lineRule="auto"/>
        <w:jc w:val="both"/>
        <w:rPr>
          <w:b/>
          <w:sz w:val="28"/>
          <w:szCs w:val="28"/>
        </w:rPr>
      </w:pPr>
      <w:r w:rsidRPr="00264389">
        <w:rPr>
          <w:sz w:val="28"/>
          <w:szCs w:val="28"/>
        </w:rPr>
        <w:lastRenderedPageBreak/>
        <w:t xml:space="preserve">la c.d. notificazione «diretta» di atti esattoriali non </w:t>
      </w:r>
      <w:r w:rsidR="00264389">
        <w:rPr>
          <w:sz w:val="28"/>
          <w:szCs w:val="28"/>
        </w:rPr>
        <w:t>è</w:t>
      </w:r>
      <w:r w:rsidRPr="00264389">
        <w:rPr>
          <w:sz w:val="28"/>
          <w:szCs w:val="28"/>
        </w:rPr>
        <w:t xml:space="preserve"> altro (nel caso di contribuente con domicilio noto) che un duplicato, come tale non necessario, di altre forme di notificazione, assistite da maggiori garanzie per il destinatario  con riguardo sia alle </w:t>
      </w:r>
      <w:r w:rsidR="00264389">
        <w:rPr>
          <w:sz w:val="28"/>
          <w:szCs w:val="28"/>
        </w:rPr>
        <w:t>formalità</w:t>
      </w:r>
      <w:r w:rsidRPr="00264389">
        <w:rPr>
          <w:sz w:val="28"/>
          <w:szCs w:val="28"/>
        </w:rPr>
        <w:t xml:space="preserve"> di invio e di predisposizione del contenuto del plico, sia di recapito - di cui il concessionario, a sua discrezionale scelta, potrebbe ugualmente avvalersi: </w:t>
      </w:r>
      <w:r w:rsidRPr="00601085">
        <w:rPr>
          <w:b/>
          <w:sz w:val="28"/>
          <w:szCs w:val="28"/>
        </w:rPr>
        <w:t xml:space="preserve">appare quindi pertinente, anche in ordine ai procedimenti notificatori de </w:t>
      </w:r>
      <w:proofErr w:type="spellStart"/>
      <w:r w:rsidRPr="00601085">
        <w:rPr>
          <w:b/>
          <w:sz w:val="28"/>
          <w:szCs w:val="28"/>
        </w:rPr>
        <w:t>quibus</w:t>
      </w:r>
      <w:proofErr w:type="spellEnd"/>
      <w:r w:rsidRPr="00601085">
        <w:rPr>
          <w:b/>
          <w:sz w:val="28"/>
          <w:szCs w:val="28"/>
        </w:rPr>
        <w:t xml:space="preserve">, il richiamo al rilievo sull'essere </w:t>
      </w:r>
      <w:r w:rsidR="001C3C13">
        <w:rPr>
          <w:b/>
          <w:sz w:val="28"/>
          <w:szCs w:val="28"/>
        </w:rPr>
        <w:t>irragionevole</w:t>
      </w:r>
      <w:r w:rsidRPr="00601085">
        <w:rPr>
          <w:b/>
          <w:sz w:val="28"/>
          <w:szCs w:val="28"/>
        </w:rPr>
        <w:t xml:space="preserve"> la scelta dell'una o altra procedura </w:t>
      </w:r>
      <w:proofErr w:type="spellStart"/>
      <w:r w:rsidRPr="00601085">
        <w:rPr>
          <w:b/>
          <w:sz w:val="28"/>
          <w:szCs w:val="28"/>
        </w:rPr>
        <w:t>notificatoria</w:t>
      </w:r>
      <w:proofErr w:type="spellEnd"/>
      <w:r w:rsidRPr="00601085">
        <w:rPr>
          <w:b/>
          <w:sz w:val="28"/>
          <w:szCs w:val="28"/>
        </w:rPr>
        <w:t xml:space="preserve"> rimessa alla scelta, «secondo criteri unilaterali di propria convenienza», di chi</w:t>
      </w:r>
      <w:r w:rsidR="00264389" w:rsidRPr="00601085">
        <w:rPr>
          <w:b/>
          <w:sz w:val="28"/>
          <w:szCs w:val="28"/>
        </w:rPr>
        <w:t xml:space="preserve"> è </w:t>
      </w:r>
      <w:r w:rsidRPr="00601085">
        <w:rPr>
          <w:b/>
          <w:sz w:val="28"/>
          <w:szCs w:val="28"/>
        </w:rPr>
        <w:t>disinteressato</w:t>
      </w:r>
      <w:r w:rsidR="00264389" w:rsidRPr="00601085">
        <w:rPr>
          <w:b/>
          <w:sz w:val="28"/>
          <w:szCs w:val="28"/>
        </w:rPr>
        <w:t xml:space="preserve"> </w:t>
      </w:r>
      <w:r w:rsidRPr="00601085">
        <w:rPr>
          <w:b/>
          <w:sz w:val="28"/>
          <w:szCs w:val="28"/>
        </w:rPr>
        <w:t>all'effettiva</w:t>
      </w:r>
      <w:r w:rsidR="00264389" w:rsidRPr="00601085">
        <w:rPr>
          <w:b/>
          <w:sz w:val="28"/>
          <w:szCs w:val="28"/>
        </w:rPr>
        <w:t xml:space="preserve"> </w:t>
      </w:r>
      <w:r w:rsidRPr="00601085">
        <w:rPr>
          <w:b/>
          <w:sz w:val="28"/>
          <w:szCs w:val="28"/>
        </w:rPr>
        <w:t>conoscenza da parte del destinatario dell'atto inviato (cfr. sentenza costituzionale n. 346 del 1998; sentenza n. 3 del 2010);</w:t>
      </w:r>
    </w:p>
    <w:p w:rsidR="00E80F1E" w:rsidRPr="00601085" w:rsidRDefault="00264389" w:rsidP="00264389">
      <w:pPr>
        <w:pStyle w:val="Paragrafoelenco"/>
        <w:numPr>
          <w:ilvl w:val="0"/>
          <w:numId w:val="2"/>
        </w:numPr>
        <w:spacing w:after="0" w:line="360" w:lineRule="auto"/>
        <w:jc w:val="both"/>
        <w:rPr>
          <w:b/>
          <w:sz w:val="28"/>
          <w:szCs w:val="28"/>
        </w:rPr>
      </w:pPr>
      <w:r>
        <w:rPr>
          <w:sz w:val="28"/>
          <w:szCs w:val="28"/>
        </w:rPr>
        <w:t>formalità</w:t>
      </w:r>
      <w:r w:rsidR="00E80F1E" w:rsidRPr="00264389">
        <w:rPr>
          <w:sz w:val="28"/>
          <w:szCs w:val="28"/>
        </w:rPr>
        <w:t xml:space="preserve"> talmente «semplificate» di perfezionamento del recapito della cartella, con i conseguenti riflessi negativi sulle ordinarie garanzie apprestate ai fini della effettiva </w:t>
      </w:r>
      <w:r>
        <w:rPr>
          <w:sz w:val="28"/>
          <w:szCs w:val="28"/>
        </w:rPr>
        <w:t>conoscibilità</w:t>
      </w:r>
      <w:r w:rsidR="00E80F1E" w:rsidRPr="00264389">
        <w:rPr>
          <w:sz w:val="28"/>
          <w:szCs w:val="28"/>
        </w:rPr>
        <w:t xml:space="preserve"> dell'atto inviato (con correlativa situazione di svantaggio rispetto alla tutele giudiziali esperibili e all'esercizio del diritto di difesa) non sembrano giustificabili ne' compatibili (specie dopo le incisive modifiche introdotte agli articoli 7 e 8 della legge n. 890 rispettivamente dalla legge n. 31 del 2008 e dalla legge n. 80 del 2005)</w:t>
      </w:r>
      <w:r>
        <w:rPr>
          <w:sz w:val="28"/>
          <w:szCs w:val="28"/>
        </w:rPr>
        <w:t xml:space="preserve"> </w:t>
      </w:r>
      <w:r w:rsidR="00E80F1E" w:rsidRPr="00264389">
        <w:rPr>
          <w:sz w:val="28"/>
          <w:szCs w:val="28"/>
        </w:rPr>
        <w:t>con</w:t>
      </w:r>
      <w:r>
        <w:rPr>
          <w:sz w:val="28"/>
          <w:szCs w:val="28"/>
        </w:rPr>
        <w:t xml:space="preserve"> </w:t>
      </w:r>
      <w:r w:rsidR="00E80F1E" w:rsidRPr="00264389">
        <w:rPr>
          <w:sz w:val="28"/>
          <w:szCs w:val="28"/>
        </w:rPr>
        <w:t>l'attuale</w:t>
      </w:r>
      <w:r>
        <w:rPr>
          <w:sz w:val="28"/>
          <w:szCs w:val="28"/>
        </w:rPr>
        <w:t xml:space="preserve"> </w:t>
      </w:r>
      <w:r w:rsidR="00E80F1E" w:rsidRPr="00264389">
        <w:rPr>
          <w:sz w:val="28"/>
          <w:szCs w:val="28"/>
        </w:rPr>
        <w:t>generale</w:t>
      </w:r>
      <w:r>
        <w:rPr>
          <w:sz w:val="28"/>
          <w:szCs w:val="28"/>
        </w:rPr>
        <w:t xml:space="preserve"> </w:t>
      </w:r>
      <w:r w:rsidR="00E80F1E" w:rsidRPr="00264389">
        <w:rPr>
          <w:sz w:val="28"/>
          <w:szCs w:val="28"/>
        </w:rPr>
        <w:t>assetto</w:t>
      </w:r>
      <w:r>
        <w:rPr>
          <w:sz w:val="28"/>
          <w:szCs w:val="28"/>
        </w:rPr>
        <w:t xml:space="preserve"> </w:t>
      </w:r>
      <w:r w:rsidR="00E80F1E" w:rsidRPr="00264389">
        <w:rPr>
          <w:sz w:val="28"/>
          <w:szCs w:val="28"/>
        </w:rPr>
        <w:t>ordinamentale</w:t>
      </w:r>
      <w:r>
        <w:rPr>
          <w:sz w:val="28"/>
          <w:szCs w:val="28"/>
        </w:rPr>
        <w:t xml:space="preserve"> </w:t>
      </w:r>
      <w:r w:rsidR="00E80F1E" w:rsidRPr="00264389">
        <w:rPr>
          <w:sz w:val="28"/>
          <w:szCs w:val="28"/>
        </w:rPr>
        <w:t>delle</w:t>
      </w:r>
      <w:r>
        <w:rPr>
          <w:sz w:val="28"/>
          <w:szCs w:val="28"/>
        </w:rPr>
        <w:t xml:space="preserve"> </w:t>
      </w:r>
      <w:r w:rsidR="00E80F1E" w:rsidRPr="00264389">
        <w:rPr>
          <w:sz w:val="28"/>
          <w:szCs w:val="28"/>
        </w:rPr>
        <w:t xml:space="preserve">notificazioni, in cui persino per gli atti aventi ad oggetto sanzioni amministrative non tributarie, per massa numerica addirittura superiori a quelle degli atti in materia tributaria (oltre che di valore economico spesso modesto </w:t>
      </w:r>
      <w:r w:rsidR="00601085">
        <w:rPr>
          <w:sz w:val="28"/>
          <w:szCs w:val="28"/>
        </w:rPr>
        <w:t>(</w:t>
      </w:r>
      <w:r w:rsidR="00E80F1E" w:rsidRPr="00264389">
        <w:rPr>
          <w:sz w:val="28"/>
          <w:szCs w:val="28"/>
        </w:rPr>
        <w:t xml:space="preserve">si pensi ai verbali di infrazione del codice della strada), la notificazione a mezzo posta avviene con le ordinarie </w:t>
      </w:r>
      <w:r>
        <w:rPr>
          <w:sz w:val="28"/>
          <w:szCs w:val="28"/>
        </w:rPr>
        <w:t>modalità</w:t>
      </w:r>
      <w:r w:rsidR="00E80F1E" w:rsidRPr="00264389">
        <w:rPr>
          <w:sz w:val="28"/>
          <w:szCs w:val="28"/>
        </w:rPr>
        <w:t xml:space="preserve"> della legge n. 890, senza che constino nella pratica particolari </w:t>
      </w:r>
      <w:r>
        <w:rPr>
          <w:sz w:val="28"/>
          <w:szCs w:val="28"/>
        </w:rPr>
        <w:t>difficoltà</w:t>
      </w:r>
      <w:r w:rsidR="00E80F1E" w:rsidRPr="00264389">
        <w:rPr>
          <w:sz w:val="28"/>
          <w:szCs w:val="28"/>
        </w:rPr>
        <w:t xml:space="preserve"> operative, il che </w:t>
      </w:r>
      <w:r>
        <w:rPr>
          <w:sz w:val="28"/>
          <w:szCs w:val="28"/>
        </w:rPr>
        <w:t>è</w:t>
      </w:r>
      <w:r w:rsidR="00E80F1E" w:rsidRPr="00264389">
        <w:rPr>
          <w:sz w:val="28"/>
          <w:szCs w:val="28"/>
        </w:rPr>
        <w:t xml:space="preserve"> indice della non eccessiva</w:t>
      </w:r>
      <w:r>
        <w:rPr>
          <w:sz w:val="28"/>
          <w:szCs w:val="28"/>
        </w:rPr>
        <w:t xml:space="preserve"> gravosità </w:t>
      </w:r>
      <w:r w:rsidR="00E80F1E" w:rsidRPr="00264389">
        <w:rPr>
          <w:sz w:val="28"/>
          <w:szCs w:val="28"/>
        </w:rPr>
        <w:t>degli</w:t>
      </w:r>
      <w:r>
        <w:rPr>
          <w:sz w:val="28"/>
          <w:szCs w:val="28"/>
        </w:rPr>
        <w:t xml:space="preserve"> </w:t>
      </w:r>
      <w:r w:rsidR="00E80F1E" w:rsidRPr="00264389">
        <w:rPr>
          <w:sz w:val="28"/>
          <w:szCs w:val="28"/>
        </w:rPr>
        <w:t>ordinari</w:t>
      </w:r>
      <w:r w:rsidR="00E80F1E" w:rsidRPr="00264389">
        <w:rPr>
          <w:sz w:val="28"/>
          <w:szCs w:val="28"/>
        </w:rPr>
        <w:tab/>
        <w:t>incombenti</w:t>
      </w:r>
      <w:r>
        <w:rPr>
          <w:sz w:val="28"/>
          <w:szCs w:val="28"/>
        </w:rPr>
        <w:t xml:space="preserve"> </w:t>
      </w:r>
      <w:r w:rsidR="00E80F1E" w:rsidRPr="00264389">
        <w:rPr>
          <w:sz w:val="28"/>
          <w:szCs w:val="28"/>
        </w:rPr>
        <w:t>(</w:t>
      </w:r>
      <w:r w:rsidR="00E80F1E" w:rsidRPr="004B23DF">
        <w:rPr>
          <w:b/>
          <w:sz w:val="28"/>
          <w:szCs w:val="28"/>
        </w:rPr>
        <w:t>v.</w:t>
      </w:r>
      <w:r w:rsidRPr="004B23DF">
        <w:rPr>
          <w:b/>
          <w:sz w:val="28"/>
          <w:szCs w:val="28"/>
        </w:rPr>
        <w:t xml:space="preserve"> </w:t>
      </w:r>
      <w:r w:rsidR="00E80F1E" w:rsidRPr="004B23DF">
        <w:rPr>
          <w:b/>
          <w:sz w:val="28"/>
          <w:szCs w:val="28"/>
        </w:rPr>
        <w:t>Corte</w:t>
      </w:r>
      <w:r>
        <w:rPr>
          <w:sz w:val="28"/>
          <w:szCs w:val="28"/>
        </w:rPr>
        <w:t xml:space="preserve"> </w:t>
      </w:r>
      <w:r w:rsidRPr="00601085">
        <w:rPr>
          <w:b/>
          <w:sz w:val="28"/>
          <w:szCs w:val="28"/>
        </w:rPr>
        <w:t>C</w:t>
      </w:r>
      <w:r w:rsidR="00E80F1E" w:rsidRPr="00601085">
        <w:rPr>
          <w:b/>
          <w:sz w:val="28"/>
          <w:szCs w:val="28"/>
        </w:rPr>
        <w:t>ostituzionale sentenza n. 366 del 7 novembre 2007).</w:t>
      </w:r>
    </w:p>
    <w:p w:rsidR="00E80F1E" w:rsidRPr="00601085" w:rsidRDefault="00E80F1E" w:rsidP="00E80F1E">
      <w:pPr>
        <w:spacing w:after="0" w:line="360" w:lineRule="auto"/>
        <w:jc w:val="both"/>
        <w:rPr>
          <w:b/>
          <w:sz w:val="28"/>
          <w:szCs w:val="28"/>
        </w:rPr>
      </w:pPr>
      <w:r w:rsidRPr="00601085">
        <w:rPr>
          <w:b/>
          <w:sz w:val="28"/>
          <w:szCs w:val="28"/>
        </w:rPr>
        <w:lastRenderedPageBreak/>
        <w:t xml:space="preserve">Sembrando dunque del tutto ingiustificata </w:t>
      </w:r>
      <w:r w:rsidR="00264389" w:rsidRPr="00601085">
        <w:rPr>
          <w:b/>
          <w:sz w:val="28"/>
          <w:szCs w:val="28"/>
        </w:rPr>
        <w:t>l’inapplicabilità</w:t>
      </w:r>
      <w:r w:rsidRPr="00601085">
        <w:rPr>
          <w:b/>
          <w:sz w:val="28"/>
          <w:szCs w:val="28"/>
        </w:rPr>
        <w:t xml:space="preserve"> dell'art. 7 legge n. 890 in </w:t>
      </w:r>
      <w:proofErr w:type="spellStart"/>
      <w:r w:rsidRPr="00601085">
        <w:rPr>
          <w:b/>
          <w:sz w:val="28"/>
          <w:szCs w:val="28"/>
        </w:rPr>
        <w:t>subiecta</w:t>
      </w:r>
      <w:proofErr w:type="spellEnd"/>
      <w:r w:rsidRPr="00601085">
        <w:rPr>
          <w:b/>
          <w:sz w:val="28"/>
          <w:szCs w:val="28"/>
        </w:rPr>
        <w:t xml:space="preserve"> materia, ritiene il collegio di sollevare, per violazione degli articoli 3, com</w:t>
      </w:r>
      <w:r w:rsidR="00942407" w:rsidRPr="00601085">
        <w:rPr>
          <w:b/>
          <w:sz w:val="28"/>
          <w:szCs w:val="28"/>
        </w:rPr>
        <w:t>m</w:t>
      </w:r>
      <w:r w:rsidRPr="00601085">
        <w:rPr>
          <w:b/>
          <w:sz w:val="28"/>
          <w:szCs w:val="28"/>
        </w:rPr>
        <w:t>a 1, 2</w:t>
      </w:r>
      <w:r w:rsidR="00942407" w:rsidRPr="00601085">
        <w:rPr>
          <w:b/>
          <w:sz w:val="28"/>
          <w:szCs w:val="28"/>
        </w:rPr>
        <w:t>4</w:t>
      </w:r>
      <w:r w:rsidRPr="00601085">
        <w:rPr>
          <w:b/>
          <w:sz w:val="28"/>
          <w:szCs w:val="28"/>
        </w:rPr>
        <w:t xml:space="preserve"> e 111 della Costituzione, questione di </w:t>
      </w:r>
      <w:r w:rsidR="00264389" w:rsidRPr="00601085">
        <w:rPr>
          <w:b/>
          <w:sz w:val="28"/>
          <w:szCs w:val="28"/>
        </w:rPr>
        <w:t>costituzionalità</w:t>
      </w:r>
      <w:r w:rsidRPr="00601085">
        <w:rPr>
          <w:b/>
          <w:sz w:val="28"/>
          <w:szCs w:val="28"/>
        </w:rPr>
        <w:t xml:space="preserve"> anche sotto i profili da ultimo descritti.</w:t>
      </w:r>
    </w:p>
    <w:p w:rsidR="00E80F1E" w:rsidRPr="00601085" w:rsidRDefault="00E80F1E" w:rsidP="00E80F1E">
      <w:pPr>
        <w:spacing w:after="0" w:line="360" w:lineRule="auto"/>
        <w:jc w:val="both"/>
        <w:rPr>
          <w:b/>
          <w:sz w:val="28"/>
          <w:szCs w:val="28"/>
        </w:rPr>
      </w:pPr>
      <w:r w:rsidRPr="00601085">
        <w:rPr>
          <w:b/>
          <w:sz w:val="28"/>
          <w:szCs w:val="28"/>
        </w:rPr>
        <w:t xml:space="preserve">Il collegio considera impraticabile una interpretazione diversa dell'art. 26 decreto del Presidente della </w:t>
      </w:r>
      <w:r w:rsidR="00942407" w:rsidRPr="00601085">
        <w:rPr>
          <w:b/>
          <w:sz w:val="28"/>
          <w:szCs w:val="28"/>
        </w:rPr>
        <w:t>R</w:t>
      </w:r>
      <w:r w:rsidRPr="00601085">
        <w:rPr>
          <w:b/>
          <w:sz w:val="28"/>
          <w:szCs w:val="28"/>
        </w:rPr>
        <w:t xml:space="preserve">epubblica n. 602/73, costituzionalmente orientata, che sia atta a superare le </w:t>
      </w:r>
      <w:r w:rsidR="00264389" w:rsidRPr="00601085">
        <w:rPr>
          <w:b/>
          <w:sz w:val="28"/>
          <w:szCs w:val="28"/>
        </w:rPr>
        <w:t>criticità</w:t>
      </w:r>
      <w:r w:rsidRPr="00601085">
        <w:rPr>
          <w:b/>
          <w:sz w:val="28"/>
          <w:szCs w:val="28"/>
        </w:rPr>
        <w:t xml:space="preserve"> evidenziate, stante la giurisprudenza di </w:t>
      </w:r>
      <w:r w:rsidR="00264389" w:rsidRPr="00601085">
        <w:rPr>
          <w:b/>
          <w:sz w:val="28"/>
          <w:szCs w:val="28"/>
        </w:rPr>
        <w:t>legittimità</w:t>
      </w:r>
      <w:r w:rsidRPr="00601085">
        <w:rPr>
          <w:b/>
          <w:sz w:val="28"/>
          <w:szCs w:val="28"/>
        </w:rPr>
        <w:t xml:space="preserve"> consolidata nei termini descritti, che ha tenuto conto di un testo normativo, stratificatosi nel tempo, frutto di vari interventi all'insegna di una innegabile «ratio» di velocizzazione delle notifiche fiscali con riguardo essenzialmente alle esigenze erariali, che hanno nella </w:t>
      </w:r>
      <w:r w:rsidR="00264389" w:rsidRPr="00601085">
        <w:rPr>
          <w:b/>
          <w:sz w:val="28"/>
          <w:szCs w:val="28"/>
        </w:rPr>
        <w:t>realtà</w:t>
      </w:r>
      <w:r w:rsidRPr="00601085">
        <w:rPr>
          <w:b/>
          <w:sz w:val="28"/>
          <w:szCs w:val="28"/>
        </w:rPr>
        <w:t xml:space="preserve"> finito per oscurare il principio enunciato nell'art. 6 dello «Statuto del contribuente» legge n. 212 del 2000 secondo cui «L'amministrazione deve assicurare l'effettiva conoscenza da parte del contribuente degli atti a lui destinati...».</w:t>
      </w:r>
    </w:p>
    <w:p w:rsidR="00E80F1E" w:rsidRPr="00E80F1E" w:rsidRDefault="00E80F1E" w:rsidP="00E80F1E">
      <w:pPr>
        <w:spacing w:after="0" w:line="360" w:lineRule="auto"/>
        <w:jc w:val="both"/>
        <w:rPr>
          <w:sz w:val="28"/>
          <w:szCs w:val="28"/>
        </w:rPr>
      </w:pPr>
      <w:r w:rsidRPr="00E80F1E">
        <w:rPr>
          <w:sz w:val="28"/>
          <w:szCs w:val="28"/>
        </w:rPr>
        <w:t xml:space="preserve">Chiara </w:t>
      </w:r>
      <w:r w:rsidR="00264389">
        <w:rPr>
          <w:sz w:val="28"/>
          <w:szCs w:val="28"/>
        </w:rPr>
        <w:t>è</w:t>
      </w:r>
      <w:r w:rsidRPr="00E80F1E">
        <w:rPr>
          <w:sz w:val="28"/>
          <w:szCs w:val="28"/>
        </w:rPr>
        <w:t xml:space="preserve"> anche la rilevanza della questione di </w:t>
      </w:r>
      <w:r w:rsidR="00264389">
        <w:rPr>
          <w:sz w:val="28"/>
          <w:szCs w:val="28"/>
        </w:rPr>
        <w:t>costituzionalità</w:t>
      </w:r>
      <w:r w:rsidRPr="00E80F1E">
        <w:rPr>
          <w:sz w:val="28"/>
          <w:szCs w:val="28"/>
        </w:rPr>
        <w:t xml:space="preserve"> che si solleva rispetto al caso concreto, dal momento che ove le norme denunciate fossero da applicare secondo la consolidata giurisprudenza di </w:t>
      </w:r>
      <w:r w:rsidR="00264389">
        <w:rPr>
          <w:sz w:val="28"/>
          <w:szCs w:val="28"/>
        </w:rPr>
        <w:t>legittimità</w:t>
      </w:r>
      <w:r w:rsidRPr="00E80F1E">
        <w:rPr>
          <w:sz w:val="28"/>
          <w:szCs w:val="28"/>
        </w:rPr>
        <w:t>, le cartelle sarebbero da considerare ben notificate e non sarebbe configurabile l'eccepita estinzione delle obbligazioni tributarie.</w:t>
      </w:r>
    </w:p>
    <w:p w:rsidR="00E80F1E" w:rsidRPr="00E80F1E" w:rsidRDefault="00E80F1E" w:rsidP="00E80F1E">
      <w:pPr>
        <w:spacing w:after="0" w:line="360" w:lineRule="auto"/>
        <w:jc w:val="both"/>
        <w:rPr>
          <w:sz w:val="28"/>
          <w:szCs w:val="28"/>
        </w:rPr>
      </w:pPr>
      <w:r w:rsidRPr="00E80F1E">
        <w:rPr>
          <w:sz w:val="28"/>
          <w:szCs w:val="28"/>
        </w:rPr>
        <w:t xml:space="preserve">In caso contrario, si profilerebbe una situazione (quanto meno) di </w:t>
      </w:r>
      <w:r w:rsidR="00264389">
        <w:rPr>
          <w:sz w:val="28"/>
          <w:szCs w:val="28"/>
        </w:rPr>
        <w:t>nullità</w:t>
      </w:r>
      <w:r w:rsidRPr="00E80F1E">
        <w:rPr>
          <w:sz w:val="28"/>
          <w:szCs w:val="28"/>
        </w:rPr>
        <w:t xml:space="preserve"> non sanata (e ormai insanabile) delle notifiche, con evidente decorso, ben prima del recapito del «Preavviso di fermo», dei termini </w:t>
      </w:r>
      <w:proofErr w:type="spellStart"/>
      <w:r w:rsidRPr="00E80F1E">
        <w:rPr>
          <w:sz w:val="28"/>
          <w:szCs w:val="28"/>
        </w:rPr>
        <w:t>decadenziali</w:t>
      </w:r>
      <w:proofErr w:type="spellEnd"/>
      <w:r w:rsidRPr="00E80F1E">
        <w:rPr>
          <w:sz w:val="28"/>
          <w:szCs w:val="28"/>
        </w:rPr>
        <w:t xml:space="preserve"> (decreto del Presidente della Repubblica n. 602/73, art. 25; legge n. 296/2006 art. 163,</w:t>
      </w:r>
      <w:r w:rsidR="00264389">
        <w:rPr>
          <w:sz w:val="28"/>
          <w:szCs w:val="28"/>
        </w:rPr>
        <w:t xml:space="preserve"> </w:t>
      </w:r>
      <w:r w:rsidRPr="00E80F1E">
        <w:rPr>
          <w:sz w:val="28"/>
          <w:szCs w:val="28"/>
        </w:rPr>
        <w:t>comma 1; decreto legislativo n. 472/1997, articoli 16 e 17).</w:t>
      </w:r>
    </w:p>
    <w:p w:rsidR="00E80F1E" w:rsidRDefault="00E80F1E" w:rsidP="00E80F1E">
      <w:pPr>
        <w:spacing w:after="0" w:line="360" w:lineRule="auto"/>
        <w:jc w:val="both"/>
        <w:rPr>
          <w:sz w:val="28"/>
          <w:szCs w:val="28"/>
        </w:rPr>
      </w:pPr>
      <w:r w:rsidRPr="00E80F1E">
        <w:rPr>
          <w:sz w:val="28"/>
          <w:szCs w:val="28"/>
        </w:rPr>
        <w:t xml:space="preserve">E infatti le notificazioni delle cartelle sono tutte avvenute mediante invio per posta effettuato direttamente da parte dell'Agente della Riscossione e con avvenuta consegna al portiere, senza invio dell'avviso previsto dall' art. 7 </w:t>
      </w:r>
      <w:proofErr w:type="spellStart"/>
      <w:r w:rsidRPr="00E80F1E">
        <w:rPr>
          <w:sz w:val="28"/>
          <w:szCs w:val="28"/>
        </w:rPr>
        <w:t>u.c.</w:t>
      </w:r>
      <w:proofErr w:type="spellEnd"/>
      <w:r w:rsidRPr="00E80F1E">
        <w:rPr>
          <w:sz w:val="28"/>
          <w:szCs w:val="28"/>
        </w:rPr>
        <w:t xml:space="preserve"> legge n. 890/92 </w:t>
      </w:r>
      <w:r w:rsidRPr="00E80F1E">
        <w:rPr>
          <w:sz w:val="28"/>
          <w:szCs w:val="28"/>
        </w:rPr>
        <w:lastRenderedPageBreak/>
        <w:t>(nel sistema della legge n. 890, «</w:t>
      </w:r>
      <w:r w:rsidR="00264389">
        <w:rPr>
          <w:sz w:val="28"/>
          <w:szCs w:val="28"/>
        </w:rPr>
        <w:t>è</w:t>
      </w:r>
      <w:r w:rsidRPr="00E80F1E">
        <w:rPr>
          <w:sz w:val="28"/>
          <w:szCs w:val="28"/>
        </w:rPr>
        <w:t xml:space="preserve"> ormai principio consolidato nella</w:t>
      </w:r>
      <w:r w:rsidR="00942407">
        <w:rPr>
          <w:sz w:val="28"/>
          <w:szCs w:val="28"/>
        </w:rPr>
        <w:t xml:space="preserve"> </w:t>
      </w:r>
      <w:r w:rsidRPr="00E80F1E">
        <w:rPr>
          <w:sz w:val="28"/>
          <w:szCs w:val="28"/>
        </w:rPr>
        <w:t>giurisprudenza di l</w:t>
      </w:r>
      <w:r w:rsidR="00264389">
        <w:rPr>
          <w:sz w:val="28"/>
          <w:szCs w:val="28"/>
        </w:rPr>
        <w:t>egittimità</w:t>
      </w:r>
      <w:r w:rsidRPr="00E80F1E">
        <w:rPr>
          <w:sz w:val="28"/>
          <w:szCs w:val="28"/>
        </w:rPr>
        <w:t xml:space="preserve"> quello secondo cui la mancata spedizione dell'avviso, sia che si tratti di applicazione dell'art. 139 cit., che di applicazione dell'art. 7 cit., dopo la novella del 2008, costituisce non una mera </w:t>
      </w:r>
      <w:r w:rsidR="00264389">
        <w:rPr>
          <w:sz w:val="28"/>
          <w:szCs w:val="28"/>
        </w:rPr>
        <w:t>irregolarità</w:t>
      </w:r>
      <w:r w:rsidRPr="00E80F1E">
        <w:rPr>
          <w:sz w:val="28"/>
          <w:szCs w:val="28"/>
        </w:rPr>
        <w:t xml:space="preserve">, ma un'ipotesi di </w:t>
      </w:r>
      <w:r w:rsidR="00264389">
        <w:rPr>
          <w:sz w:val="28"/>
          <w:szCs w:val="28"/>
        </w:rPr>
        <w:t>nullità</w:t>
      </w:r>
      <w:r w:rsidRPr="00E80F1E">
        <w:rPr>
          <w:sz w:val="28"/>
          <w:szCs w:val="28"/>
        </w:rPr>
        <w:t xml:space="preserve">...» </w:t>
      </w:r>
      <w:r w:rsidR="00264389">
        <w:rPr>
          <w:sz w:val="28"/>
          <w:szCs w:val="28"/>
        </w:rPr>
        <w:t>così</w:t>
      </w:r>
      <w:r w:rsidRPr="00E80F1E">
        <w:rPr>
          <w:sz w:val="28"/>
          <w:szCs w:val="28"/>
        </w:rPr>
        <w:t xml:space="preserve"> da ultimo, in parte motiva, Cass. 12438/16; conf. Cas</w:t>
      </w:r>
      <w:r w:rsidR="00942407">
        <w:rPr>
          <w:sz w:val="28"/>
          <w:szCs w:val="28"/>
        </w:rPr>
        <w:t>s</w:t>
      </w:r>
      <w:r w:rsidRPr="00E80F1E">
        <w:rPr>
          <w:sz w:val="28"/>
          <w:szCs w:val="28"/>
        </w:rPr>
        <w:t xml:space="preserve">. n. 17915 del 2008; n. 1366 del 2010, n. 21725 del 2012; n. 6345 del 2013), e parimenti in difetto di attestazione (sia pure senza formule sacramentali) dell'assenza del destinatario e dei soggetti (la successione preferenziale dei quali </w:t>
      </w:r>
      <w:r w:rsidR="00264389">
        <w:rPr>
          <w:sz w:val="28"/>
          <w:szCs w:val="28"/>
        </w:rPr>
        <w:t>è</w:t>
      </w:r>
      <w:r w:rsidRPr="00E80F1E">
        <w:rPr>
          <w:sz w:val="28"/>
          <w:szCs w:val="28"/>
        </w:rPr>
        <w:t xml:space="preserve"> tassativamente prevista dalla norma </w:t>
      </w:r>
      <w:r w:rsidR="00264389">
        <w:rPr>
          <w:sz w:val="28"/>
          <w:szCs w:val="28"/>
        </w:rPr>
        <w:t>è</w:t>
      </w:r>
      <w:r w:rsidRPr="00E80F1E">
        <w:rPr>
          <w:sz w:val="28"/>
          <w:szCs w:val="28"/>
        </w:rPr>
        <w:t xml:space="preserve"> considerata integrare </w:t>
      </w:r>
      <w:r w:rsidR="00264389">
        <w:rPr>
          <w:sz w:val="28"/>
          <w:szCs w:val="28"/>
        </w:rPr>
        <w:t>nullità</w:t>
      </w:r>
      <w:r w:rsidRPr="00E80F1E">
        <w:rPr>
          <w:sz w:val="28"/>
          <w:szCs w:val="28"/>
        </w:rPr>
        <w:t>: cfr. Cas</w:t>
      </w:r>
      <w:r w:rsidR="00942407">
        <w:rPr>
          <w:sz w:val="28"/>
          <w:szCs w:val="28"/>
        </w:rPr>
        <w:t>s</w:t>
      </w:r>
      <w:r w:rsidRPr="00E80F1E">
        <w:rPr>
          <w:sz w:val="28"/>
          <w:szCs w:val="28"/>
        </w:rPr>
        <w:t xml:space="preserve">. </w:t>
      </w:r>
      <w:proofErr w:type="spellStart"/>
      <w:r w:rsidRPr="00E80F1E">
        <w:rPr>
          <w:sz w:val="28"/>
          <w:szCs w:val="28"/>
        </w:rPr>
        <w:t>Civ</w:t>
      </w:r>
      <w:proofErr w:type="spellEnd"/>
      <w:r w:rsidRPr="00E80F1E">
        <w:rPr>
          <w:sz w:val="28"/>
          <w:szCs w:val="28"/>
        </w:rPr>
        <w:t>., Sez. Un., 30 maggio 2005 n. 11332) rientranti nelle categorie contemplate dall'art. 139 del codice di procedura civile, com</w:t>
      </w:r>
      <w:r w:rsidR="00942407">
        <w:rPr>
          <w:sz w:val="28"/>
          <w:szCs w:val="28"/>
        </w:rPr>
        <w:t>m</w:t>
      </w:r>
      <w:r w:rsidRPr="00E80F1E">
        <w:rPr>
          <w:sz w:val="28"/>
          <w:szCs w:val="28"/>
        </w:rPr>
        <w:t>a 2</w:t>
      </w:r>
      <w:r w:rsidR="00601085">
        <w:rPr>
          <w:sz w:val="28"/>
          <w:szCs w:val="28"/>
        </w:rPr>
        <w:t>,</w:t>
      </w:r>
      <w:r w:rsidRPr="00E80F1E">
        <w:rPr>
          <w:sz w:val="28"/>
          <w:szCs w:val="28"/>
        </w:rPr>
        <w:t xml:space="preserve"> e dalla parallela previsione dell'art. 7, comma 2 e 3</w:t>
      </w:r>
      <w:r w:rsidR="00601085">
        <w:rPr>
          <w:sz w:val="28"/>
          <w:szCs w:val="28"/>
        </w:rPr>
        <w:t>,</w:t>
      </w:r>
      <w:r w:rsidRPr="00E80F1E">
        <w:rPr>
          <w:sz w:val="28"/>
          <w:szCs w:val="28"/>
        </w:rPr>
        <w:t xml:space="preserve"> legge n. 890/82</w:t>
      </w:r>
      <w:r w:rsidR="00601085">
        <w:rPr>
          <w:sz w:val="28"/>
          <w:szCs w:val="28"/>
        </w:rPr>
        <w:t>”</w:t>
      </w:r>
      <w:r w:rsidRPr="00E80F1E">
        <w:rPr>
          <w:sz w:val="28"/>
          <w:szCs w:val="28"/>
        </w:rPr>
        <w:t>.</w:t>
      </w:r>
    </w:p>
    <w:p w:rsidR="001C1889" w:rsidRPr="00A60355" w:rsidRDefault="001C1889" w:rsidP="00E80F1E">
      <w:pPr>
        <w:spacing w:after="0" w:line="360" w:lineRule="auto"/>
        <w:jc w:val="both"/>
        <w:rPr>
          <w:b/>
          <w:sz w:val="28"/>
          <w:szCs w:val="28"/>
        </w:rPr>
      </w:pPr>
      <w:r w:rsidRPr="00A60355">
        <w:rPr>
          <w:b/>
          <w:sz w:val="28"/>
          <w:szCs w:val="28"/>
        </w:rPr>
        <w:t>Spero che la Corte Costituzionale accolga tutte le eccezioni di incostituzionalità sollevate dalla condivisibile ordinanza n. 59/2016 della CTR di Milano – Sez. Settima.</w:t>
      </w:r>
    </w:p>
    <w:p w:rsidR="00942407" w:rsidRDefault="00942407" w:rsidP="00E80F1E">
      <w:pPr>
        <w:spacing w:after="0" w:line="360" w:lineRule="auto"/>
        <w:jc w:val="both"/>
        <w:rPr>
          <w:b/>
          <w:sz w:val="28"/>
          <w:szCs w:val="28"/>
        </w:rPr>
      </w:pPr>
      <w:proofErr w:type="gramStart"/>
      <w:r w:rsidRPr="00942407">
        <w:rPr>
          <w:b/>
          <w:sz w:val="28"/>
          <w:szCs w:val="28"/>
        </w:rPr>
        <w:t xml:space="preserve">Lecce,  </w:t>
      </w:r>
      <w:r w:rsidR="00F6317E">
        <w:rPr>
          <w:b/>
          <w:sz w:val="28"/>
          <w:szCs w:val="28"/>
        </w:rPr>
        <w:t>19</w:t>
      </w:r>
      <w:proofErr w:type="gramEnd"/>
      <w:r w:rsidRPr="00942407">
        <w:rPr>
          <w:b/>
          <w:sz w:val="28"/>
          <w:szCs w:val="28"/>
        </w:rPr>
        <w:t xml:space="preserve"> giugno 2018</w:t>
      </w:r>
    </w:p>
    <w:p w:rsidR="00942407" w:rsidRPr="00942407" w:rsidRDefault="00942407" w:rsidP="00E80F1E">
      <w:pPr>
        <w:spacing w:after="0" w:line="360" w:lineRule="auto"/>
        <w:jc w:val="both"/>
        <w:rPr>
          <w:b/>
          <w:sz w:val="28"/>
          <w:szCs w:val="28"/>
        </w:rPr>
      </w:pPr>
    </w:p>
    <w:p w:rsidR="00942407" w:rsidRPr="00942407" w:rsidRDefault="00942407" w:rsidP="00942407">
      <w:pPr>
        <w:spacing w:after="0" w:line="240" w:lineRule="auto"/>
        <w:ind w:left="-1530"/>
        <w:jc w:val="center"/>
        <w:rPr>
          <w:rFonts w:eastAsia="Times New Roman" w:cs="Arial"/>
          <w:b/>
          <w:bCs/>
          <w:sz w:val="28"/>
          <w:szCs w:val="24"/>
          <w:lang w:eastAsia="it-IT"/>
        </w:rPr>
      </w:pPr>
      <w:r w:rsidRPr="00942407">
        <w:rPr>
          <w:rFonts w:eastAsia="Times New Roman" w:cs="Arial"/>
          <w:b/>
          <w:bCs/>
          <w:sz w:val="28"/>
          <w:szCs w:val="24"/>
          <w:lang w:eastAsia="it-IT"/>
        </w:rPr>
        <w:t>AVV. MAURIZIO VILLANI</w:t>
      </w:r>
    </w:p>
    <w:p w:rsidR="00942407" w:rsidRPr="00942407" w:rsidRDefault="00942407" w:rsidP="00942407">
      <w:pPr>
        <w:keepNext/>
        <w:spacing w:after="0" w:line="240" w:lineRule="auto"/>
        <w:ind w:left="-1530"/>
        <w:jc w:val="center"/>
        <w:outlineLvl w:val="5"/>
        <w:rPr>
          <w:rFonts w:eastAsia="Times New Roman" w:cs="Arial"/>
          <w:b/>
          <w:bCs/>
          <w:sz w:val="28"/>
          <w:szCs w:val="24"/>
          <w:lang w:eastAsia="it-IT"/>
        </w:rPr>
      </w:pPr>
      <w:r w:rsidRPr="00942407">
        <w:rPr>
          <w:rFonts w:eastAsia="Times New Roman" w:cs="Arial"/>
          <w:b/>
          <w:bCs/>
          <w:sz w:val="28"/>
          <w:szCs w:val="24"/>
          <w:lang w:eastAsia="it-IT"/>
        </w:rPr>
        <w:t>Avvocato Tributarista in Lecce</w:t>
      </w:r>
    </w:p>
    <w:p w:rsidR="00942407" w:rsidRPr="00942407" w:rsidRDefault="00942407" w:rsidP="00942407">
      <w:pPr>
        <w:spacing w:after="0" w:line="240" w:lineRule="auto"/>
        <w:rPr>
          <w:rFonts w:eastAsia="Times New Roman" w:cs="Arial"/>
          <w:b/>
          <w:sz w:val="28"/>
          <w:szCs w:val="24"/>
          <w:lang w:eastAsia="it-IT"/>
        </w:rPr>
      </w:pPr>
      <w:r w:rsidRPr="00942407">
        <w:rPr>
          <w:rFonts w:eastAsia="Times New Roman" w:cs="Arial"/>
          <w:b/>
          <w:sz w:val="28"/>
          <w:szCs w:val="24"/>
          <w:lang w:eastAsia="it-IT"/>
        </w:rPr>
        <w:t xml:space="preserve">                              </w:t>
      </w:r>
      <w:r w:rsidRPr="000947D2">
        <w:rPr>
          <w:rFonts w:eastAsia="Times New Roman" w:cs="Arial"/>
          <w:b/>
          <w:sz w:val="28"/>
          <w:szCs w:val="24"/>
          <w:lang w:eastAsia="it-IT"/>
        </w:rPr>
        <w:t xml:space="preserve">          </w:t>
      </w:r>
      <w:r w:rsidRPr="00942407">
        <w:rPr>
          <w:rFonts w:eastAsia="Times New Roman" w:cs="Arial"/>
          <w:b/>
          <w:sz w:val="28"/>
          <w:szCs w:val="24"/>
          <w:lang w:eastAsia="it-IT"/>
        </w:rPr>
        <w:t xml:space="preserve">  Patrocinante in Cassazione</w:t>
      </w:r>
    </w:p>
    <w:p w:rsidR="00942407" w:rsidRPr="00942407" w:rsidRDefault="004F145C" w:rsidP="00942407">
      <w:pPr>
        <w:spacing w:after="0" w:line="240" w:lineRule="auto"/>
        <w:ind w:left="-1530"/>
        <w:jc w:val="center"/>
        <w:rPr>
          <w:rFonts w:eastAsia="Times New Roman" w:cs="Arial"/>
          <w:b/>
          <w:bCs/>
          <w:sz w:val="28"/>
          <w:szCs w:val="24"/>
          <w:lang w:eastAsia="it-IT"/>
        </w:rPr>
      </w:pPr>
      <w:hyperlink r:id="rId8" w:history="1">
        <w:r w:rsidR="00942407" w:rsidRPr="000947D2">
          <w:rPr>
            <w:rFonts w:eastAsia="Times New Roman" w:cs="Arial"/>
            <w:b/>
            <w:bCs/>
            <w:color w:val="0000FF"/>
            <w:sz w:val="28"/>
            <w:szCs w:val="24"/>
            <w:u w:val="single"/>
            <w:lang w:eastAsia="it-IT"/>
          </w:rPr>
          <w:t>www.studiotributariovillani.it</w:t>
        </w:r>
      </w:hyperlink>
      <w:r w:rsidR="00942407" w:rsidRPr="00942407">
        <w:rPr>
          <w:rFonts w:eastAsia="Times New Roman" w:cs="Arial"/>
          <w:b/>
          <w:bCs/>
          <w:sz w:val="28"/>
          <w:szCs w:val="24"/>
          <w:lang w:eastAsia="it-IT"/>
        </w:rPr>
        <w:t xml:space="preserve"> - e-mail </w:t>
      </w:r>
      <w:hyperlink r:id="rId9" w:history="1">
        <w:r w:rsidR="00942407" w:rsidRPr="000947D2">
          <w:rPr>
            <w:rFonts w:eastAsia="Times New Roman" w:cs="Arial"/>
            <w:b/>
            <w:bCs/>
            <w:color w:val="0000FF"/>
            <w:sz w:val="28"/>
            <w:szCs w:val="24"/>
            <w:u w:val="single"/>
            <w:lang w:eastAsia="it-IT"/>
          </w:rPr>
          <w:t>avvocato@studiotributariovillani.it</w:t>
        </w:r>
      </w:hyperlink>
    </w:p>
    <w:p w:rsidR="00942407" w:rsidRPr="000947D2" w:rsidRDefault="00942407" w:rsidP="00942407">
      <w:pPr>
        <w:spacing w:after="0" w:line="360" w:lineRule="auto"/>
        <w:jc w:val="center"/>
        <w:rPr>
          <w:b/>
          <w:sz w:val="32"/>
          <w:szCs w:val="28"/>
        </w:rPr>
      </w:pPr>
    </w:p>
    <w:sectPr w:rsidR="00942407" w:rsidRPr="000947D2">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145C" w:rsidRDefault="004F145C" w:rsidP="00E80F1E">
      <w:pPr>
        <w:spacing w:after="0" w:line="240" w:lineRule="auto"/>
      </w:pPr>
      <w:r>
        <w:separator/>
      </w:r>
    </w:p>
  </w:endnote>
  <w:endnote w:type="continuationSeparator" w:id="0">
    <w:p w:rsidR="004F145C" w:rsidRDefault="004F145C" w:rsidP="00E80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3468094"/>
      <w:docPartObj>
        <w:docPartGallery w:val="Page Numbers (Bottom of Page)"/>
        <w:docPartUnique/>
      </w:docPartObj>
    </w:sdtPr>
    <w:sdtEndPr/>
    <w:sdtContent>
      <w:p w:rsidR="00E80F1E" w:rsidRDefault="00E80F1E">
        <w:pPr>
          <w:pStyle w:val="Pidipagina"/>
          <w:jc w:val="right"/>
        </w:pPr>
        <w:r>
          <w:fldChar w:fldCharType="begin"/>
        </w:r>
        <w:r>
          <w:instrText>PAGE   \* MERGEFORMAT</w:instrText>
        </w:r>
        <w:r>
          <w:fldChar w:fldCharType="separate"/>
        </w:r>
        <w:r>
          <w:t>2</w:t>
        </w:r>
        <w:r>
          <w:fldChar w:fldCharType="end"/>
        </w:r>
      </w:p>
    </w:sdtContent>
  </w:sdt>
  <w:p w:rsidR="00E80F1E" w:rsidRDefault="00E80F1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145C" w:rsidRDefault="004F145C" w:rsidP="00E80F1E">
      <w:pPr>
        <w:spacing w:after="0" w:line="240" w:lineRule="auto"/>
      </w:pPr>
      <w:r>
        <w:separator/>
      </w:r>
    </w:p>
  </w:footnote>
  <w:footnote w:type="continuationSeparator" w:id="0">
    <w:p w:rsidR="004F145C" w:rsidRDefault="004F145C" w:rsidP="00E80F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BEE95"/>
    <w:multiLevelType w:val="singleLevel"/>
    <w:tmpl w:val="6E67BD18"/>
    <w:lvl w:ilvl="0">
      <w:start w:val="1"/>
      <w:numFmt w:val="lowerLetter"/>
      <w:lvlText w:val="%1)"/>
      <w:lvlJc w:val="left"/>
      <w:pPr>
        <w:tabs>
          <w:tab w:val="num" w:pos="360"/>
        </w:tabs>
        <w:ind w:left="288" w:firstLine="1008"/>
      </w:pPr>
      <w:rPr>
        <w:rFonts w:ascii="Courier New" w:hAnsi="Courier New" w:cs="Courier New"/>
        <w:snapToGrid/>
        <w:spacing w:val="-9"/>
        <w:sz w:val="20"/>
        <w:szCs w:val="20"/>
      </w:rPr>
    </w:lvl>
  </w:abstractNum>
  <w:abstractNum w:abstractNumId="1" w15:restartNumberingAfterBreak="0">
    <w:nsid w:val="18B64212"/>
    <w:multiLevelType w:val="hybridMultilevel"/>
    <w:tmpl w:val="38AC7EE8"/>
    <w:lvl w:ilvl="0" w:tplc="28FA41D6">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F1E"/>
    <w:rsid w:val="00025830"/>
    <w:rsid w:val="0004437E"/>
    <w:rsid w:val="00093E50"/>
    <w:rsid w:val="000947D2"/>
    <w:rsid w:val="000F4E50"/>
    <w:rsid w:val="001C1889"/>
    <w:rsid w:val="001C3C13"/>
    <w:rsid w:val="002452EC"/>
    <w:rsid w:val="00264389"/>
    <w:rsid w:val="00277187"/>
    <w:rsid w:val="00346023"/>
    <w:rsid w:val="004B23DF"/>
    <w:rsid w:val="004B6832"/>
    <w:rsid w:val="004F145C"/>
    <w:rsid w:val="00592955"/>
    <w:rsid w:val="00601085"/>
    <w:rsid w:val="00706D98"/>
    <w:rsid w:val="007C4B68"/>
    <w:rsid w:val="007E36F9"/>
    <w:rsid w:val="008F3AC2"/>
    <w:rsid w:val="00911C25"/>
    <w:rsid w:val="00942407"/>
    <w:rsid w:val="0098284F"/>
    <w:rsid w:val="00A12D3A"/>
    <w:rsid w:val="00A60355"/>
    <w:rsid w:val="00AE3DCC"/>
    <w:rsid w:val="00B15E1D"/>
    <w:rsid w:val="00C1204C"/>
    <w:rsid w:val="00C75680"/>
    <w:rsid w:val="00C81DBE"/>
    <w:rsid w:val="00D439D4"/>
    <w:rsid w:val="00E80F1E"/>
    <w:rsid w:val="00F219B2"/>
    <w:rsid w:val="00F631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043153-E4E4-4728-9B70-794841456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80F1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80F1E"/>
  </w:style>
  <w:style w:type="paragraph" w:styleId="Pidipagina">
    <w:name w:val="footer"/>
    <w:basedOn w:val="Normale"/>
    <w:link w:val="PidipaginaCarattere"/>
    <w:uiPriority w:val="99"/>
    <w:unhideWhenUsed/>
    <w:rsid w:val="00E80F1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80F1E"/>
  </w:style>
  <w:style w:type="paragraph" w:styleId="Paragrafoelenco">
    <w:name w:val="List Paragraph"/>
    <w:basedOn w:val="Normale"/>
    <w:uiPriority w:val="34"/>
    <w:qFormat/>
    <w:rsid w:val="00264389"/>
    <w:pPr>
      <w:ind w:left="720"/>
      <w:contextualSpacing/>
    </w:pPr>
  </w:style>
  <w:style w:type="paragraph" w:styleId="Testofumetto">
    <w:name w:val="Balloon Text"/>
    <w:basedOn w:val="Normale"/>
    <w:link w:val="TestofumettoCarattere"/>
    <w:uiPriority w:val="99"/>
    <w:semiHidden/>
    <w:unhideWhenUsed/>
    <w:rsid w:val="007E36F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E36F9"/>
    <w:rPr>
      <w:rFonts w:ascii="Segoe UI" w:hAnsi="Segoe UI" w:cs="Segoe UI"/>
      <w:sz w:val="18"/>
      <w:szCs w:val="18"/>
    </w:rPr>
  </w:style>
  <w:style w:type="character" w:styleId="Collegamentoipertestuale">
    <w:name w:val="Hyperlink"/>
    <w:basedOn w:val="Carpredefinitoparagrafo"/>
    <w:uiPriority w:val="99"/>
    <w:unhideWhenUsed/>
    <w:rsid w:val="00AE3DCC"/>
    <w:rPr>
      <w:color w:val="0563C1" w:themeColor="hyperlink"/>
      <w:u w:val="single"/>
    </w:rPr>
  </w:style>
  <w:style w:type="character" w:styleId="Menzionenonrisolta">
    <w:name w:val="Unresolved Mention"/>
    <w:basedOn w:val="Carpredefinitoparagrafo"/>
    <w:uiPriority w:val="99"/>
    <w:semiHidden/>
    <w:unhideWhenUsed/>
    <w:rsid w:val="00AE3D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iotributariovillani.it" TargetMode="External"/><Relationship Id="rId3" Type="http://schemas.openxmlformats.org/officeDocument/2006/relationships/settings" Target="settings.xml"/><Relationship Id="rId7" Type="http://schemas.openxmlformats.org/officeDocument/2006/relationships/hyperlink" Target="http://www.studiotributariovillani.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vvocato@studiotributariovillan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3399</Words>
  <Characters>19375</Characters>
  <Application>Microsoft Office Word</Application>
  <DocSecurity>0</DocSecurity>
  <Lines>161</Lines>
  <Paragraphs>45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Faggiano</dc:creator>
  <cp:keywords/>
  <dc:description/>
  <cp:lastModifiedBy>utente</cp:lastModifiedBy>
  <cp:revision>2</cp:revision>
  <cp:lastPrinted>2018-06-19T07:31:00Z</cp:lastPrinted>
  <dcterms:created xsi:type="dcterms:W3CDTF">2018-06-19T09:49:00Z</dcterms:created>
  <dcterms:modified xsi:type="dcterms:W3CDTF">2018-06-19T09:49:00Z</dcterms:modified>
</cp:coreProperties>
</file>