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2C" w:rsidRDefault="00A5582C" w:rsidP="00A5582C">
      <w:pPr>
        <w:pStyle w:val="Style3"/>
        <w:kinsoku w:val="0"/>
        <w:autoSpaceDE/>
        <w:autoSpaceDN/>
        <w:spacing w:before="0" w:line="360" w:lineRule="auto"/>
        <w:jc w:val="center"/>
        <w:rPr>
          <w:rStyle w:val="CharacterStyle2"/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C71C8D">
        <w:rPr>
          <w:rStyle w:val="CharacterStyle2"/>
          <w:rFonts w:ascii="Times New Roman" w:hAnsi="Times New Roman" w:cs="Times New Roman"/>
          <w:b/>
          <w:sz w:val="40"/>
          <w:szCs w:val="28"/>
        </w:rPr>
        <w:t>AGEVOLAZIONE ICI DEL FONDO AGRICOLO</w:t>
      </w:r>
    </w:p>
    <w:p w:rsidR="00C71C8D" w:rsidRPr="00C71C8D" w:rsidRDefault="00C71C8D" w:rsidP="00A5582C">
      <w:pPr>
        <w:pStyle w:val="Style3"/>
        <w:kinsoku w:val="0"/>
        <w:autoSpaceDE/>
        <w:autoSpaceDN/>
        <w:spacing w:before="0" w:line="360" w:lineRule="auto"/>
        <w:jc w:val="center"/>
        <w:rPr>
          <w:rStyle w:val="CharacterStyle2"/>
          <w:rFonts w:ascii="Times New Roman" w:hAnsi="Times New Roman" w:cs="Times New Roman"/>
          <w:b/>
          <w:sz w:val="40"/>
          <w:szCs w:val="28"/>
        </w:rPr>
      </w:pPr>
    </w:p>
    <w:p w:rsidR="00A5582C" w:rsidRPr="00C71C8D" w:rsidRDefault="00F52AC4" w:rsidP="00BE3E22">
      <w:pPr>
        <w:pStyle w:val="Style3"/>
        <w:kinsoku w:val="0"/>
        <w:autoSpaceDE/>
        <w:autoSpaceDN/>
        <w:spacing w:before="0" w:line="360" w:lineRule="auto"/>
        <w:rPr>
          <w:rStyle w:val="CharacterStyle2"/>
          <w:rFonts w:ascii="Times New Roman" w:hAnsi="Times New Roman" w:cs="Times New Roman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sz w:val="28"/>
          <w:szCs w:val="28"/>
        </w:rPr>
        <w:t>La Corte di Cassazione, in tema di agevolazione ICI del fondo agricolo, ha stabilito il seguente costante principio di diritto:</w:t>
      </w:r>
    </w:p>
    <w:p w:rsidR="00BC6467" w:rsidRPr="00C71C8D" w:rsidRDefault="00BC6467" w:rsidP="00BE3E22">
      <w:pPr>
        <w:pStyle w:val="Style3"/>
        <w:kinsoku w:val="0"/>
        <w:autoSpaceDE/>
        <w:autoSpaceDN/>
        <w:spacing w:before="0" w:line="360" w:lineRule="auto"/>
        <w:rPr>
          <w:rStyle w:val="CharacterStyle2"/>
          <w:rFonts w:ascii="Times New Roman" w:hAnsi="Times New Roman" w:cs="Times New Roman"/>
          <w:b/>
          <w:spacing w:val="-10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b/>
          <w:sz w:val="28"/>
          <w:szCs w:val="28"/>
        </w:rPr>
        <w:t>“</w:t>
      </w:r>
      <w:r w:rsidRPr="00C71C8D">
        <w:rPr>
          <w:rStyle w:val="CharacterStyle2"/>
          <w:rFonts w:ascii="Times New Roman" w:hAnsi="Times New Roman" w:cs="Times New Roman"/>
          <w:b/>
          <w:iCs/>
          <w:sz w:val="28"/>
          <w:szCs w:val="28"/>
        </w:rPr>
        <w:t xml:space="preserve">In </w:t>
      </w:r>
      <w:r w:rsidRPr="00C71C8D">
        <w:rPr>
          <w:rStyle w:val="CharacterStyle2"/>
          <w:rFonts w:ascii="Times New Roman" w:hAnsi="Times New Roman" w:cs="Times New Roman"/>
          <w:b/>
          <w:iCs/>
          <w:spacing w:val="19"/>
          <w:sz w:val="28"/>
          <w:szCs w:val="28"/>
        </w:rPr>
        <w:t xml:space="preserve">tema di agevolazione ai </w:t>
      </w:r>
      <w:r w:rsidRPr="00C71C8D">
        <w:rPr>
          <w:rStyle w:val="CharacterStyle2"/>
          <w:rFonts w:ascii="Times New Roman" w:hAnsi="Times New Roman" w:cs="Times New Roman"/>
          <w:b/>
          <w:iCs/>
          <w:spacing w:val="19"/>
          <w:w w:val="45"/>
          <w:sz w:val="28"/>
          <w:szCs w:val="28"/>
          <w:vertAlign w:val="subscript"/>
        </w:rPr>
        <w:t>.</w:t>
      </w:r>
      <w:r w:rsidRPr="00C71C8D">
        <w:rPr>
          <w:rStyle w:val="CharacterStyle2"/>
          <w:rFonts w:ascii="Times New Roman" w:hAnsi="Times New Roman" w:cs="Times New Roman"/>
          <w:b/>
          <w:iCs/>
          <w:spacing w:val="19"/>
          <w:sz w:val="28"/>
          <w:szCs w:val="28"/>
        </w:rPr>
        <w:t xml:space="preserve">fini ICI, la qualità agricola di un terreno pur </w:t>
      </w:r>
      <w:r w:rsidRPr="00C71C8D">
        <w:rPr>
          <w:rStyle w:val="CharacterStyle2"/>
          <w:rFonts w:ascii="Times New Roman" w:hAnsi="Times New Roman" w:cs="Times New Roman"/>
          <w:b/>
          <w:iCs/>
          <w:spacing w:val="4"/>
          <w:sz w:val="28"/>
          <w:szCs w:val="28"/>
        </w:rPr>
        <w:t xml:space="preserve">potenzialmente edificabile, posseduto e condotto da uno dei comproprietari avente i </w:t>
      </w:r>
      <w:r w:rsidRPr="00C71C8D">
        <w:rPr>
          <w:rStyle w:val="CharacterStyle2"/>
          <w:rFonts w:ascii="Times New Roman" w:hAnsi="Times New Roman" w:cs="Times New Roman"/>
          <w:b/>
          <w:iCs/>
          <w:spacing w:val="7"/>
          <w:sz w:val="28"/>
          <w:szCs w:val="28"/>
        </w:rPr>
        <w:t xml:space="preserve">requisiti soggettivi e oggettivi di cui agli artt. 2, comma 1, lett. b), e 9, comma 1, del </w:t>
      </w:r>
      <w:r w:rsidRPr="00C71C8D">
        <w:rPr>
          <w:rStyle w:val="CharacterStyle2"/>
          <w:rFonts w:ascii="Times New Roman" w:hAnsi="Times New Roman" w:cs="Times New Roman"/>
          <w:b/>
          <w:iCs/>
          <w:spacing w:val="6"/>
          <w:sz w:val="28"/>
          <w:szCs w:val="28"/>
        </w:rPr>
        <w:t xml:space="preserve">d.lgs. n. 504 del 1992, trova applicazione anche in favore degli altri comproprietari </w:t>
      </w:r>
      <w:r w:rsidRPr="00C71C8D">
        <w:rPr>
          <w:rStyle w:val="CharacterStyle2"/>
          <w:rFonts w:ascii="Times New Roman" w:hAnsi="Times New Roman" w:cs="Times New Roman"/>
          <w:b/>
          <w:iCs/>
          <w:spacing w:val="3"/>
          <w:sz w:val="28"/>
          <w:szCs w:val="28"/>
        </w:rPr>
        <w:t xml:space="preserve">che non esercitano </w:t>
      </w:r>
      <w:r w:rsidR="00F52AC4" w:rsidRPr="00C71C8D">
        <w:rPr>
          <w:rStyle w:val="CharacterStyle2"/>
          <w:rFonts w:ascii="Times New Roman" w:hAnsi="Times New Roman" w:cs="Times New Roman"/>
          <w:b/>
          <w:iCs/>
          <w:spacing w:val="3"/>
          <w:sz w:val="28"/>
          <w:szCs w:val="28"/>
        </w:rPr>
        <w:t>sul fondo</w:t>
      </w:r>
      <w:r w:rsidRPr="00C71C8D">
        <w:rPr>
          <w:rStyle w:val="CharacterStyle2"/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l'attività agricola, in quanto la destinazione agricola di </w:t>
      </w:r>
      <w:r w:rsidRPr="00C71C8D">
        <w:rPr>
          <w:rStyle w:val="CharacterStyle2"/>
          <w:rFonts w:ascii="Times New Roman" w:hAnsi="Times New Roman" w:cs="Times New Roman"/>
          <w:b/>
          <w:iCs/>
          <w:spacing w:val="7"/>
          <w:sz w:val="28"/>
          <w:szCs w:val="28"/>
        </w:rPr>
        <w:t xml:space="preserve">un'area è incompatibile con la possibilità dello sfruttamento edilizio della stessa". </w:t>
      </w:r>
      <w:r w:rsidRPr="00C71C8D">
        <w:rPr>
          <w:rStyle w:val="CharacterStyle2"/>
          <w:rFonts w:ascii="Times New Roman" w:hAnsi="Times New Roman" w:cs="Times New Roman"/>
          <w:b/>
          <w:spacing w:val="-5"/>
          <w:sz w:val="28"/>
          <w:szCs w:val="28"/>
        </w:rPr>
        <w:t xml:space="preserve">(Cass. 25/05/2017, n. 13261 e 30/06/2010, n. 15566; conf. Cass. </w:t>
      </w:r>
      <w:r w:rsidRPr="00C71C8D">
        <w:rPr>
          <w:rStyle w:val="CharacterStyle2"/>
          <w:rFonts w:ascii="Times New Roman" w:hAnsi="Times New Roman" w:cs="Times New Roman"/>
          <w:b/>
          <w:spacing w:val="-14"/>
          <w:sz w:val="28"/>
          <w:szCs w:val="28"/>
        </w:rPr>
        <w:t xml:space="preserve">27/10/2017, n. 25596; 27/09/2017, n. 22486; 05/07/2011, n. 14824; </w:t>
      </w:r>
      <w:r w:rsidRPr="00C71C8D">
        <w:rPr>
          <w:rStyle w:val="CharacterStyle2"/>
          <w:rFonts w:ascii="Times New Roman" w:hAnsi="Times New Roman" w:cs="Times New Roman"/>
          <w:b/>
          <w:spacing w:val="-10"/>
          <w:sz w:val="28"/>
          <w:szCs w:val="28"/>
        </w:rPr>
        <w:t>29/07/2011, n. 16636</w:t>
      </w:r>
      <w:r w:rsidR="00F52AC4" w:rsidRPr="00C71C8D">
        <w:rPr>
          <w:rStyle w:val="CharacterStyle2"/>
          <w:rFonts w:ascii="Times New Roman" w:hAnsi="Times New Roman" w:cs="Times New Roman"/>
          <w:b/>
          <w:spacing w:val="-10"/>
          <w:sz w:val="28"/>
          <w:szCs w:val="28"/>
        </w:rPr>
        <w:t>; 03/07/2018 n. 17337</w:t>
      </w:r>
      <w:r w:rsidRPr="00C71C8D">
        <w:rPr>
          <w:rStyle w:val="CharacterStyle2"/>
          <w:rFonts w:ascii="Times New Roman" w:hAnsi="Times New Roman" w:cs="Times New Roman"/>
          <w:b/>
          <w:spacing w:val="-10"/>
          <w:sz w:val="28"/>
          <w:szCs w:val="28"/>
        </w:rPr>
        <w:t>)</w:t>
      </w:r>
      <w:r w:rsidR="00F52AC4" w:rsidRPr="00C71C8D">
        <w:rPr>
          <w:rStyle w:val="CharacterStyle2"/>
          <w:rFonts w:ascii="Times New Roman" w:hAnsi="Times New Roman" w:cs="Times New Roman"/>
          <w:b/>
          <w:spacing w:val="-10"/>
          <w:sz w:val="28"/>
          <w:szCs w:val="28"/>
        </w:rPr>
        <w:t>.</w:t>
      </w:r>
    </w:p>
    <w:p w:rsidR="00BC6467" w:rsidRPr="00C71C8D" w:rsidRDefault="00BC6467" w:rsidP="00BE3E22">
      <w:pPr>
        <w:pStyle w:val="Style3"/>
        <w:kinsoku w:val="0"/>
        <w:autoSpaceDE/>
        <w:autoSpaceDN/>
        <w:spacing w:before="0" w:line="360" w:lineRule="auto"/>
        <w:rPr>
          <w:rStyle w:val="CharacterStyle1"/>
          <w:rFonts w:ascii="Times New Roman" w:hAnsi="Times New Roman" w:cs="Times New Roman"/>
          <w:i w:val="0"/>
          <w:iCs w:val="0"/>
          <w:spacing w:val="-10"/>
          <w:sz w:val="28"/>
          <w:szCs w:val="28"/>
        </w:rPr>
      </w:pPr>
      <w:r w:rsidRPr="00C71C8D">
        <w:rPr>
          <w:rStyle w:val="CharacterStyle1"/>
          <w:rFonts w:ascii="Times New Roman" w:hAnsi="Times New Roman" w:cs="Times New Roman"/>
          <w:i w:val="0"/>
          <w:spacing w:val="-11"/>
          <w:sz w:val="28"/>
          <w:szCs w:val="28"/>
        </w:rPr>
        <w:t>I diversi precedenti di legittimità</w:t>
      </w:r>
      <w:r w:rsidR="00155E22" w:rsidRPr="00C71C8D">
        <w:rPr>
          <w:rStyle w:val="CharacterStyle1"/>
          <w:rFonts w:ascii="Times New Roman" w:hAnsi="Times New Roman" w:cs="Times New Roman"/>
          <w:i w:val="0"/>
          <w:spacing w:val="-11"/>
          <w:sz w:val="28"/>
          <w:szCs w:val="28"/>
        </w:rPr>
        <w:t>,</w:t>
      </w:r>
      <w:r w:rsidRPr="00C71C8D">
        <w:rPr>
          <w:rStyle w:val="CharacterStyle1"/>
          <w:rFonts w:ascii="Times New Roman" w:hAnsi="Times New Roman" w:cs="Times New Roman"/>
          <w:i w:val="0"/>
          <w:spacing w:val="-11"/>
          <w:sz w:val="28"/>
          <w:szCs w:val="28"/>
        </w:rPr>
        <w:t xml:space="preserve"> riguardando </w:t>
      </w:r>
      <w:r w:rsidRPr="00C71C8D">
        <w:rPr>
          <w:rStyle w:val="CharacterStyle1"/>
          <w:rFonts w:ascii="Times New Roman" w:hAnsi="Times New Roman" w:cs="Times New Roman"/>
          <w:i w:val="0"/>
          <w:spacing w:val="-7"/>
          <w:sz w:val="28"/>
          <w:szCs w:val="28"/>
        </w:rPr>
        <w:t>casi diversi, quali il comodato al figlio o l'affitto a terzi</w:t>
      </w:r>
      <w:r w:rsidR="00155E22" w:rsidRPr="00C71C8D">
        <w:rPr>
          <w:rStyle w:val="CharacterStyle1"/>
          <w:rFonts w:ascii="Times New Roman" w:hAnsi="Times New Roman" w:cs="Times New Roman"/>
          <w:i w:val="0"/>
          <w:spacing w:val="-7"/>
          <w:sz w:val="28"/>
          <w:szCs w:val="28"/>
        </w:rPr>
        <w:t>,</w:t>
      </w:r>
      <w:r w:rsidRPr="00C71C8D">
        <w:rPr>
          <w:rStyle w:val="CharacterStyle1"/>
          <w:rFonts w:ascii="Times New Roman" w:hAnsi="Times New Roman" w:cs="Times New Roman"/>
          <w:i w:val="0"/>
          <w:spacing w:val="-7"/>
          <w:sz w:val="28"/>
          <w:szCs w:val="28"/>
        </w:rPr>
        <w:t xml:space="preserve"> non resistono </w:t>
      </w:r>
      <w:r w:rsidRPr="00C71C8D">
        <w:rPr>
          <w:rStyle w:val="CharacterStyle1"/>
          <w:rFonts w:ascii="Times New Roman" w:hAnsi="Times New Roman" w:cs="Times New Roman"/>
          <w:i w:val="0"/>
          <w:spacing w:val="5"/>
          <w:sz w:val="28"/>
          <w:szCs w:val="28"/>
        </w:rPr>
        <w:t xml:space="preserve">ad un corretto esame "distintivo", perché essi colgono vicende </w:t>
      </w:r>
      <w:proofErr w:type="spellStart"/>
      <w:r w:rsidRPr="00C71C8D">
        <w:rPr>
          <w:rStyle w:val="CharacterStyle1"/>
          <w:rFonts w:ascii="Times New Roman" w:hAnsi="Times New Roman" w:cs="Times New Roman"/>
          <w:i w:val="0"/>
          <w:spacing w:val="-5"/>
          <w:sz w:val="28"/>
          <w:szCs w:val="28"/>
        </w:rPr>
        <w:t>civilisticamente</w:t>
      </w:r>
      <w:proofErr w:type="spellEnd"/>
      <w:r w:rsidRPr="00C71C8D">
        <w:rPr>
          <w:rStyle w:val="CharacterStyle1"/>
          <w:rFonts w:ascii="Times New Roman" w:hAnsi="Times New Roman" w:cs="Times New Roman"/>
          <w:i w:val="0"/>
          <w:spacing w:val="-5"/>
          <w:sz w:val="28"/>
          <w:szCs w:val="28"/>
        </w:rPr>
        <w:t xml:space="preserve"> e fiscalmente diverse rispetto alla coltivazione diretta </w:t>
      </w:r>
      <w:r w:rsidRPr="00C71C8D">
        <w:rPr>
          <w:rStyle w:val="CharacterStyle1"/>
          <w:rFonts w:ascii="Times New Roman" w:hAnsi="Times New Roman" w:cs="Times New Roman"/>
          <w:i w:val="0"/>
          <w:spacing w:val="-4"/>
          <w:sz w:val="28"/>
          <w:szCs w:val="28"/>
        </w:rPr>
        <w:t xml:space="preserve">da parte del comproprietario, il quale può servirsi della cosa comune </w:t>
      </w:r>
      <w:r w:rsidRPr="00C71C8D">
        <w:rPr>
          <w:rStyle w:val="CharacterStyle1"/>
          <w:rFonts w:ascii="Times New Roman" w:hAnsi="Times New Roman" w:cs="Times New Roman"/>
          <w:i w:val="0"/>
          <w:spacing w:val="-9"/>
          <w:sz w:val="28"/>
          <w:szCs w:val="28"/>
        </w:rPr>
        <w:t xml:space="preserve">nei limiti di cui all'art. 1102 cod. civ., anche nell'interesse di tutti, senza </w:t>
      </w:r>
      <w:r w:rsidRPr="00C71C8D">
        <w:rPr>
          <w:rStyle w:val="CharacterStyle1"/>
          <w:rFonts w:ascii="Times New Roman" w:hAnsi="Times New Roman" w:cs="Times New Roman"/>
          <w:i w:val="0"/>
          <w:spacing w:val="-5"/>
          <w:sz w:val="28"/>
          <w:szCs w:val="28"/>
        </w:rPr>
        <w:t xml:space="preserve">che il fatto che i comunisti possano regolare i loro interessi per via </w:t>
      </w:r>
      <w:r w:rsidRPr="00C71C8D">
        <w:rPr>
          <w:rStyle w:val="CharacterStyle1"/>
          <w:rFonts w:ascii="Times New Roman" w:hAnsi="Times New Roman" w:cs="Times New Roman"/>
          <w:i w:val="0"/>
          <w:spacing w:val="-7"/>
          <w:sz w:val="28"/>
          <w:szCs w:val="28"/>
        </w:rPr>
        <w:t>negoziale, possa avere un rilievo di per se stesso decisivo.</w:t>
      </w:r>
    </w:p>
    <w:p w:rsidR="00BC6467" w:rsidRPr="00C71C8D" w:rsidRDefault="00BC6467" w:rsidP="00BE3E22">
      <w:pPr>
        <w:pStyle w:val="Style4"/>
        <w:kinsoku w:val="0"/>
        <w:autoSpaceDE/>
        <w:autoSpaceDN/>
        <w:spacing w:line="360" w:lineRule="auto"/>
        <w:rPr>
          <w:rStyle w:val="CharacterStyle2"/>
          <w:rFonts w:ascii="Times New Roman" w:hAnsi="Times New Roman" w:cs="Times New Roman"/>
          <w:spacing w:val="6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sz w:val="28"/>
          <w:szCs w:val="28"/>
        </w:rPr>
        <w:t xml:space="preserve">Più in dettaglio </w:t>
      </w:r>
      <w:r w:rsidR="00155E22" w:rsidRPr="00C71C8D">
        <w:rPr>
          <w:rStyle w:val="CharacterStyle2"/>
          <w:rFonts w:ascii="Times New Roman" w:hAnsi="Times New Roman" w:cs="Times New Roman"/>
          <w:sz w:val="28"/>
          <w:szCs w:val="28"/>
        </w:rPr>
        <w:t>la</w:t>
      </w:r>
      <w:r w:rsidRPr="00C71C8D">
        <w:rPr>
          <w:rStyle w:val="CharacterStyle2"/>
          <w:rFonts w:ascii="Times New Roman" w:hAnsi="Times New Roman" w:cs="Times New Roman"/>
          <w:sz w:val="28"/>
          <w:szCs w:val="28"/>
        </w:rPr>
        <w:t xml:space="preserve"> Corte</w:t>
      </w:r>
      <w:r w:rsidR="00155E22" w:rsidRPr="00C71C8D">
        <w:rPr>
          <w:rStyle w:val="CharacterStyle2"/>
          <w:rFonts w:ascii="Times New Roman" w:hAnsi="Times New Roman" w:cs="Times New Roman"/>
          <w:sz w:val="28"/>
          <w:szCs w:val="28"/>
        </w:rPr>
        <w:t xml:space="preserve"> di Cassazione</w:t>
      </w:r>
      <w:r w:rsidRPr="00C71C8D">
        <w:rPr>
          <w:rStyle w:val="CharacterStyle2"/>
          <w:rFonts w:ascii="Times New Roman" w:hAnsi="Times New Roman" w:cs="Times New Roman"/>
          <w:sz w:val="28"/>
          <w:szCs w:val="28"/>
        </w:rPr>
        <w:t xml:space="preserve"> ha chiarito, riguardo all'approdo </w:t>
      </w:r>
      <w:r w:rsidRPr="00C71C8D">
        <w:rPr>
          <w:rStyle w:val="CharacterStyle2"/>
          <w:rFonts w:ascii="Times New Roman" w:hAnsi="Times New Roman" w:cs="Times New Roman"/>
          <w:spacing w:val="6"/>
          <w:sz w:val="28"/>
          <w:szCs w:val="28"/>
        </w:rPr>
        <w:t xml:space="preserve">ermeneutico qui condiviso, che </w:t>
      </w:r>
    </w:p>
    <w:p w:rsidR="00BC6467" w:rsidRPr="00C71C8D" w:rsidRDefault="00BC6467" w:rsidP="00BE3E22">
      <w:pPr>
        <w:pStyle w:val="Style4"/>
        <w:kinsoku w:val="0"/>
        <w:autoSpaceDE/>
        <w:autoSpaceDN/>
        <w:spacing w:line="360" w:lineRule="auto"/>
        <w:rPr>
          <w:rStyle w:val="CharacterStyle2"/>
          <w:rFonts w:ascii="Times New Roman" w:hAnsi="Times New Roman" w:cs="Times New Roman"/>
          <w:b/>
          <w:iCs/>
          <w:spacing w:val="5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b/>
          <w:spacing w:val="6"/>
          <w:sz w:val="28"/>
          <w:szCs w:val="28"/>
        </w:rPr>
        <w:t>“T</w:t>
      </w:r>
      <w:r w:rsidRPr="00C71C8D">
        <w:rPr>
          <w:rStyle w:val="CharacterStyle2"/>
          <w:rFonts w:ascii="Times New Roman" w:hAnsi="Times New Roman" w:cs="Times New Roman"/>
          <w:b/>
          <w:iCs/>
          <w:spacing w:val="6"/>
          <w:sz w:val="28"/>
          <w:szCs w:val="28"/>
        </w:rPr>
        <w:t xml:space="preserve">ale conclusione si impone ... in forza di </w:t>
      </w:r>
      <w:r w:rsidRPr="00C71C8D">
        <w:rPr>
          <w:rStyle w:val="CharacterStyle2"/>
          <w:rFonts w:ascii="Times New Roman" w:hAnsi="Times New Roman" w:cs="Times New Roman"/>
          <w:b/>
          <w:iCs/>
          <w:sz w:val="28"/>
          <w:szCs w:val="28"/>
        </w:rPr>
        <w:t xml:space="preserve">una interpretazione letterale e sistematica del </w:t>
      </w:r>
      <w:r w:rsidRPr="00C71C8D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D.Lgs. </w:t>
      </w:r>
      <w:r w:rsidRPr="00C71C8D">
        <w:rPr>
          <w:rStyle w:val="CharacterStyle2"/>
          <w:rFonts w:ascii="Times New Roman" w:hAnsi="Times New Roman" w:cs="Times New Roman"/>
          <w:b/>
          <w:iCs/>
          <w:sz w:val="28"/>
          <w:szCs w:val="28"/>
        </w:rPr>
        <w:t xml:space="preserve">n. 504 del 1992, art. 2, </w:t>
      </w:r>
      <w:r w:rsidRPr="00C71C8D">
        <w:rPr>
          <w:rStyle w:val="CharacterStyle2"/>
          <w:rFonts w:ascii="Times New Roman" w:hAnsi="Times New Roman" w:cs="Times New Roman"/>
          <w:b/>
          <w:iCs/>
          <w:spacing w:val="23"/>
          <w:sz w:val="28"/>
          <w:szCs w:val="28"/>
        </w:rPr>
        <w:t>comma 1</w:t>
      </w:r>
      <w:r w:rsidR="00155E22" w:rsidRPr="00C71C8D">
        <w:rPr>
          <w:rStyle w:val="CharacterStyle2"/>
          <w:rFonts w:ascii="Times New Roman" w:hAnsi="Times New Roman" w:cs="Times New Roman"/>
          <w:b/>
          <w:iCs/>
          <w:spacing w:val="23"/>
          <w:sz w:val="28"/>
          <w:szCs w:val="28"/>
        </w:rPr>
        <w:t>,</w:t>
      </w:r>
      <w:r w:rsidRPr="00C71C8D">
        <w:rPr>
          <w:rStyle w:val="CharacterStyle2"/>
          <w:rFonts w:ascii="Times New Roman" w:hAnsi="Times New Roman" w:cs="Times New Roman"/>
          <w:b/>
          <w:iCs/>
          <w:spacing w:val="23"/>
          <w:sz w:val="28"/>
          <w:szCs w:val="28"/>
        </w:rPr>
        <w:t xml:space="preserve"> lett. b). Ai sensi di questa disposizione, infatti, un terreno, pur </w:t>
      </w:r>
      <w:r w:rsidRPr="00C71C8D">
        <w:rPr>
          <w:rStyle w:val="CharacterStyle2"/>
          <w:rFonts w:ascii="Times New Roman" w:hAnsi="Times New Roman" w:cs="Times New Roman"/>
          <w:b/>
          <w:iCs/>
          <w:spacing w:val="13"/>
          <w:sz w:val="28"/>
          <w:szCs w:val="28"/>
        </w:rPr>
        <w:t xml:space="preserve">suscettibile di utilizzazione edificatoria, deve considerarsi agricolo, ai fini della </w:t>
      </w:r>
      <w:r w:rsidRPr="00C71C8D">
        <w:rPr>
          <w:rStyle w:val="CharacterStyle2"/>
          <w:rFonts w:ascii="Times New Roman" w:hAnsi="Times New Roman" w:cs="Times New Roman"/>
          <w:b/>
          <w:iCs/>
          <w:spacing w:val="5"/>
          <w:sz w:val="28"/>
          <w:szCs w:val="28"/>
        </w:rPr>
        <w:t xml:space="preserve">applicazione dell'imposta, laddove ricorrano tre condizioni: </w:t>
      </w:r>
    </w:p>
    <w:p w:rsidR="00BC6467" w:rsidRPr="00C71C8D" w:rsidRDefault="00BC6467" w:rsidP="00BE3E22">
      <w:pPr>
        <w:pStyle w:val="Style4"/>
        <w:numPr>
          <w:ilvl w:val="0"/>
          <w:numId w:val="3"/>
        </w:numPr>
        <w:kinsoku w:val="0"/>
        <w:autoSpaceDE/>
        <w:autoSpaceDN/>
        <w:spacing w:line="360" w:lineRule="auto"/>
        <w:rPr>
          <w:rStyle w:val="CharacterStyle2"/>
          <w:rFonts w:ascii="Times New Roman" w:hAnsi="Times New Roman" w:cs="Times New Roman"/>
          <w:b/>
          <w:spacing w:val="8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b/>
          <w:iCs/>
          <w:spacing w:val="5"/>
          <w:sz w:val="28"/>
          <w:szCs w:val="28"/>
        </w:rPr>
        <w:t xml:space="preserve">il possesso dello stesso </w:t>
      </w:r>
      <w:r w:rsidRPr="00C71C8D">
        <w:rPr>
          <w:rStyle w:val="CharacterStyle2"/>
          <w:rFonts w:ascii="Times New Roman" w:hAnsi="Times New Roman" w:cs="Times New Roman"/>
          <w:b/>
          <w:iCs/>
          <w:spacing w:val="8"/>
          <w:sz w:val="28"/>
          <w:szCs w:val="28"/>
        </w:rPr>
        <w:t>da parte di coltivatori diretti o di imprenditori agricoli a titolo principale</w:t>
      </w:r>
      <w:r w:rsidR="00155E22" w:rsidRPr="00C71C8D">
        <w:rPr>
          <w:rStyle w:val="CharacterStyle2"/>
          <w:rFonts w:ascii="Times New Roman" w:hAnsi="Times New Roman" w:cs="Times New Roman"/>
          <w:b/>
          <w:iCs/>
          <w:spacing w:val="8"/>
          <w:sz w:val="28"/>
          <w:szCs w:val="28"/>
        </w:rPr>
        <w:t>;</w:t>
      </w:r>
      <w:r w:rsidRPr="00C71C8D">
        <w:rPr>
          <w:rStyle w:val="CharacterStyle2"/>
          <w:rFonts w:ascii="Times New Roman" w:hAnsi="Times New Roman" w:cs="Times New Roman"/>
          <w:b/>
          <w:iCs/>
          <w:spacing w:val="8"/>
          <w:sz w:val="28"/>
          <w:szCs w:val="28"/>
        </w:rPr>
        <w:t xml:space="preserve"> </w:t>
      </w:r>
    </w:p>
    <w:p w:rsidR="00BC6467" w:rsidRPr="00C71C8D" w:rsidRDefault="00BC6467" w:rsidP="00BE3E22">
      <w:pPr>
        <w:pStyle w:val="Style4"/>
        <w:numPr>
          <w:ilvl w:val="0"/>
          <w:numId w:val="3"/>
        </w:numPr>
        <w:kinsoku w:val="0"/>
        <w:autoSpaceDE/>
        <w:autoSpaceDN/>
        <w:spacing w:line="360" w:lineRule="auto"/>
        <w:rPr>
          <w:rStyle w:val="CharacterStyle2"/>
          <w:rFonts w:ascii="Times New Roman" w:hAnsi="Times New Roman" w:cs="Times New Roman"/>
          <w:b/>
          <w:spacing w:val="8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b/>
          <w:iCs/>
          <w:spacing w:val="8"/>
          <w:sz w:val="28"/>
          <w:szCs w:val="28"/>
        </w:rPr>
        <w:lastRenderedPageBreak/>
        <w:t xml:space="preserve">la </w:t>
      </w:r>
      <w:r w:rsidRPr="00C71C8D">
        <w:rPr>
          <w:rStyle w:val="CharacterStyle2"/>
          <w:rFonts w:ascii="Times New Roman" w:hAnsi="Times New Roman" w:cs="Times New Roman"/>
          <w:b/>
          <w:iCs/>
          <w:spacing w:val="11"/>
          <w:sz w:val="28"/>
          <w:szCs w:val="28"/>
        </w:rPr>
        <w:t xml:space="preserve">diretta conduzione del medesimo da parte dei predetti soggetti; </w:t>
      </w:r>
    </w:p>
    <w:p w:rsidR="00BC6467" w:rsidRPr="00C71C8D" w:rsidRDefault="00BC6467" w:rsidP="00BE3E22">
      <w:pPr>
        <w:pStyle w:val="Style4"/>
        <w:numPr>
          <w:ilvl w:val="0"/>
          <w:numId w:val="3"/>
        </w:numPr>
        <w:kinsoku w:val="0"/>
        <w:autoSpaceDE/>
        <w:autoSpaceDN/>
        <w:spacing w:line="360" w:lineRule="auto"/>
        <w:rPr>
          <w:rStyle w:val="CharacterStyle2"/>
          <w:rFonts w:ascii="Times New Roman" w:hAnsi="Times New Roman" w:cs="Times New Roman"/>
          <w:b/>
          <w:spacing w:val="8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b/>
          <w:iCs/>
          <w:spacing w:val="11"/>
          <w:sz w:val="28"/>
          <w:szCs w:val="28"/>
        </w:rPr>
        <w:t xml:space="preserve">la persistenza </w:t>
      </w:r>
      <w:r w:rsidRPr="00C71C8D"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  <w:t>dell’utilizzazione agro-</w:t>
      </w:r>
      <w:proofErr w:type="spellStart"/>
      <w:r w:rsidRPr="00C71C8D"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  <w:t>silvo</w:t>
      </w:r>
      <w:proofErr w:type="spellEnd"/>
      <w:r w:rsidRPr="00C71C8D"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  <w:t xml:space="preserve">-pastorale, mediante l’esercizio di attività dirette alla </w:t>
      </w:r>
      <w:r w:rsidRPr="00C71C8D">
        <w:rPr>
          <w:rStyle w:val="CharacterStyle2"/>
          <w:rFonts w:ascii="Times New Roman" w:hAnsi="Times New Roman" w:cs="Times New Roman"/>
          <w:b/>
          <w:iCs/>
          <w:spacing w:val="2"/>
          <w:sz w:val="28"/>
          <w:szCs w:val="28"/>
        </w:rPr>
        <w:t>coltivazione</w:t>
      </w:r>
      <w:r w:rsidR="00BE3E22" w:rsidRPr="00C71C8D">
        <w:rPr>
          <w:rStyle w:val="CharacterStyle2"/>
          <w:rFonts w:ascii="Times New Roman" w:hAnsi="Times New Roman" w:cs="Times New Roman"/>
          <w:b/>
          <w:iCs/>
          <w:spacing w:val="2"/>
          <w:sz w:val="28"/>
          <w:szCs w:val="28"/>
        </w:rPr>
        <w:t>.</w:t>
      </w:r>
      <w:r w:rsidRPr="00C71C8D">
        <w:rPr>
          <w:rStyle w:val="CharacterStyle2"/>
          <w:rFonts w:ascii="Times New Roman" w:hAnsi="Times New Roman" w:cs="Times New Roman"/>
          <w:b/>
          <w:iCs/>
          <w:spacing w:val="2"/>
          <w:sz w:val="28"/>
          <w:szCs w:val="28"/>
        </w:rPr>
        <w:t xml:space="preserve">" </w:t>
      </w:r>
      <w:r w:rsidRPr="00C71C8D">
        <w:rPr>
          <w:rStyle w:val="CharacterStyle2"/>
          <w:rFonts w:ascii="Times New Roman" w:hAnsi="Times New Roman" w:cs="Times New Roman"/>
          <w:b/>
          <w:spacing w:val="2"/>
          <w:sz w:val="28"/>
          <w:szCs w:val="28"/>
        </w:rPr>
        <w:t xml:space="preserve">(Cass. n. 15566/10, cit.). </w:t>
      </w:r>
    </w:p>
    <w:p w:rsidR="00BC6467" w:rsidRPr="00C71C8D" w:rsidRDefault="00BC6467" w:rsidP="00BE3E22">
      <w:pPr>
        <w:pStyle w:val="Style4"/>
        <w:kinsoku w:val="0"/>
        <w:autoSpaceDE/>
        <w:autoSpaceDN/>
        <w:spacing w:line="360" w:lineRule="auto"/>
        <w:rPr>
          <w:rStyle w:val="CharacterStyle2"/>
          <w:rFonts w:ascii="Times New Roman" w:hAnsi="Times New Roman" w:cs="Times New Roman"/>
          <w:spacing w:val="8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spacing w:val="2"/>
          <w:sz w:val="28"/>
          <w:szCs w:val="28"/>
        </w:rPr>
        <w:t xml:space="preserve">Ne deriva che, </w:t>
      </w:r>
      <w:r w:rsidRPr="00C71C8D">
        <w:rPr>
          <w:rStyle w:val="CharacterStyle2"/>
          <w:rFonts w:ascii="Times New Roman" w:hAnsi="Times New Roman" w:cs="Times New Roman"/>
          <w:iCs/>
          <w:spacing w:val="2"/>
          <w:sz w:val="28"/>
          <w:szCs w:val="28"/>
        </w:rPr>
        <w:t xml:space="preserve">"Ricorrendo tali </w:t>
      </w:r>
      <w:r w:rsidR="00A915A1" w:rsidRPr="00C71C8D">
        <w:rPr>
          <w:rStyle w:val="CharacterStyle2"/>
          <w:rFonts w:ascii="Times New Roman" w:hAnsi="Times New Roman" w:cs="Times New Roman"/>
          <w:iCs/>
          <w:spacing w:val="3"/>
          <w:sz w:val="28"/>
          <w:szCs w:val="28"/>
        </w:rPr>
        <w:t>presupposti</w:t>
      </w:r>
      <w:r w:rsidRPr="00C71C8D">
        <w:rPr>
          <w:rStyle w:val="CharacterStyle2"/>
          <w:rFonts w:ascii="Times New Roman" w:hAnsi="Times New Roman" w:cs="Times New Roman"/>
          <w:iCs/>
          <w:spacing w:val="3"/>
          <w:sz w:val="28"/>
          <w:szCs w:val="28"/>
        </w:rPr>
        <w:t xml:space="preserve">, il terreno soggiace </w:t>
      </w:r>
      <w:r w:rsidR="00A915A1" w:rsidRPr="00C71C8D">
        <w:rPr>
          <w:rStyle w:val="CharacterStyle2"/>
          <w:rFonts w:ascii="Times New Roman" w:hAnsi="Times New Roman" w:cs="Times New Roman"/>
          <w:iCs/>
          <w:spacing w:val="3"/>
          <w:sz w:val="28"/>
          <w:szCs w:val="28"/>
        </w:rPr>
        <w:t>all’imposta</w:t>
      </w:r>
      <w:r w:rsidRPr="00C71C8D">
        <w:rPr>
          <w:rStyle w:val="CharacterStyle2"/>
          <w:rFonts w:ascii="Times New Roman" w:hAnsi="Times New Roman" w:cs="Times New Roman"/>
          <w:iCs/>
          <w:spacing w:val="3"/>
          <w:sz w:val="28"/>
          <w:szCs w:val="28"/>
        </w:rPr>
        <w:t xml:space="preserve"> in </w:t>
      </w:r>
      <w:r w:rsidR="00BE3E22" w:rsidRPr="00C71C8D">
        <w:rPr>
          <w:rStyle w:val="CharacterStyle2"/>
          <w:rFonts w:ascii="Times New Roman" w:hAnsi="Times New Roman" w:cs="Times New Roman"/>
          <w:iCs/>
          <w:spacing w:val="3"/>
          <w:sz w:val="28"/>
          <w:szCs w:val="28"/>
        </w:rPr>
        <w:t>relazione</w:t>
      </w:r>
      <w:r w:rsidRPr="00C71C8D">
        <w:rPr>
          <w:rStyle w:val="CharacterStyle2"/>
          <w:rFonts w:ascii="Times New Roman" w:hAnsi="Times New Roman" w:cs="Times New Roman"/>
          <w:iCs/>
          <w:spacing w:val="3"/>
          <w:sz w:val="28"/>
          <w:szCs w:val="28"/>
        </w:rPr>
        <w:t xml:space="preserve"> al suo valore catastale, </w:t>
      </w:r>
      <w:r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 xml:space="preserve">dovendosi prescindere dalla sua obiettiva </w:t>
      </w:r>
      <w:r w:rsidR="00A915A1"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>potenzialità</w:t>
      </w:r>
      <w:r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="00A915A1"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>edilizia</w:t>
      </w:r>
      <w:r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 xml:space="preserve">. La </w:t>
      </w:r>
      <w:r w:rsidR="00A915A1"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>considerazione</w:t>
      </w:r>
      <w:r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 xml:space="preserve">, in questi casi, dell'area come terreno agricolo ha quindi carattere oggettivo e, come tale, si estende a ciascuno dei contitolari dei diritti dominicali. Ciò in quanto la </w:t>
      </w:r>
      <w:r w:rsidR="00A915A1" w:rsidRPr="00C71C8D">
        <w:rPr>
          <w:rStyle w:val="CharacterStyle2"/>
          <w:rFonts w:ascii="Times New Roman" w:hAnsi="Times New Roman" w:cs="Times New Roman"/>
          <w:iCs/>
          <w:spacing w:val="7"/>
          <w:sz w:val="28"/>
          <w:szCs w:val="28"/>
        </w:rPr>
        <w:t>persistenza</w:t>
      </w:r>
      <w:r w:rsidRPr="00C71C8D">
        <w:rPr>
          <w:rStyle w:val="CharacterStyle2"/>
          <w:rFonts w:ascii="Times New Roman" w:hAnsi="Times New Roman" w:cs="Times New Roman"/>
          <w:iCs/>
          <w:spacing w:val="7"/>
          <w:sz w:val="28"/>
          <w:szCs w:val="28"/>
        </w:rPr>
        <w:t xml:space="preserve"> della </w:t>
      </w:r>
      <w:r w:rsidR="00A915A1" w:rsidRPr="00C71C8D">
        <w:rPr>
          <w:rStyle w:val="CharacterStyle2"/>
          <w:rFonts w:ascii="Times New Roman" w:hAnsi="Times New Roman" w:cs="Times New Roman"/>
          <w:iCs/>
          <w:spacing w:val="7"/>
          <w:sz w:val="28"/>
          <w:szCs w:val="28"/>
        </w:rPr>
        <w:t>destinazione</w:t>
      </w:r>
      <w:r w:rsidRPr="00C71C8D">
        <w:rPr>
          <w:rStyle w:val="CharacterStyle2"/>
          <w:rFonts w:ascii="Times New Roman" w:hAnsi="Times New Roman" w:cs="Times New Roman"/>
          <w:iCs/>
          <w:spacing w:val="7"/>
          <w:sz w:val="28"/>
          <w:szCs w:val="28"/>
        </w:rPr>
        <w:t xml:space="preserve"> del </w:t>
      </w:r>
      <w:r w:rsidR="00A915A1" w:rsidRPr="00C71C8D">
        <w:rPr>
          <w:rStyle w:val="CharacterStyle2"/>
          <w:rFonts w:ascii="Times New Roman" w:hAnsi="Times New Roman" w:cs="Times New Roman"/>
          <w:iCs/>
          <w:spacing w:val="7"/>
          <w:sz w:val="28"/>
          <w:szCs w:val="28"/>
        </w:rPr>
        <w:t>fondo</w:t>
      </w:r>
      <w:r w:rsidRPr="00C71C8D">
        <w:rPr>
          <w:rStyle w:val="CharacterStyle2"/>
          <w:rFonts w:ascii="Times New Roman" w:hAnsi="Times New Roman" w:cs="Times New Roman"/>
          <w:iCs/>
          <w:spacing w:val="7"/>
          <w:sz w:val="28"/>
          <w:szCs w:val="28"/>
        </w:rPr>
        <w:t xml:space="preserve"> a scopo agricolo integra una </w:t>
      </w:r>
      <w:r w:rsidR="00A915A1" w:rsidRPr="00C71C8D">
        <w:rPr>
          <w:rStyle w:val="CharacterStyle2"/>
          <w:rFonts w:ascii="Times New Roman" w:hAnsi="Times New Roman" w:cs="Times New Roman"/>
          <w:iCs/>
          <w:spacing w:val="7"/>
          <w:sz w:val="28"/>
          <w:szCs w:val="28"/>
        </w:rPr>
        <w:t>situazione</w:t>
      </w:r>
      <w:r w:rsidRPr="00C71C8D">
        <w:rPr>
          <w:rStyle w:val="CharacterStyle2"/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 xml:space="preserve">incompatibile con la possibilità del suo sfruttamento </w:t>
      </w:r>
      <w:r w:rsidR="00A915A1"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>edilizio</w:t>
      </w:r>
      <w:r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 xml:space="preserve"> e tale incompatibilità, </w:t>
      </w:r>
      <w:r w:rsidRPr="00C71C8D">
        <w:rPr>
          <w:rStyle w:val="CharacterStyle2"/>
          <w:rFonts w:ascii="Times New Roman" w:hAnsi="Times New Roman" w:cs="Times New Roman"/>
          <w:iCs/>
          <w:spacing w:val="5"/>
          <w:sz w:val="28"/>
          <w:szCs w:val="28"/>
        </w:rPr>
        <w:t xml:space="preserve">avendo carattere oggettivo, vale sia per il comproprietario coltivatore diretto che per </w:t>
      </w:r>
      <w:r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>gli altri comunisti</w:t>
      </w:r>
      <w:r w:rsidR="00BE3E22"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>.</w:t>
      </w:r>
      <w:r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>" (</w:t>
      </w:r>
      <w:proofErr w:type="spellStart"/>
      <w:r w:rsidR="00A915A1"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>sent</w:t>
      </w:r>
      <w:proofErr w:type="spellEnd"/>
      <w:r w:rsidR="00A915A1"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>.</w:t>
      </w:r>
      <w:r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proofErr w:type="spellStart"/>
      <w:r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>ult</w:t>
      </w:r>
      <w:proofErr w:type="spellEnd"/>
      <w:r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 xml:space="preserve">. </w:t>
      </w:r>
      <w:r w:rsidRPr="00C71C8D">
        <w:rPr>
          <w:rStyle w:val="CharacterStyle2"/>
          <w:rFonts w:ascii="Times New Roman" w:hAnsi="Times New Roman" w:cs="Times New Roman"/>
          <w:spacing w:val="8"/>
          <w:sz w:val="28"/>
          <w:szCs w:val="28"/>
        </w:rPr>
        <w:t>cit.).</w:t>
      </w:r>
    </w:p>
    <w:p w:rsidR="00BC6467" w:rsidRPr="00C71C8D" w:rsidRDefault="00E01EAB" w:rsidP="00BE3E22">
      <w:pPr>
        <w:pStyle w:val="Style4"/>
        <w:kinsoku w:val="0"/>
        <w:autoSpaceDE/>
        <w:autoSpaceDN/>
        <w:spacing w:line="360" w:lineRule="auto"/>
        <w:rPr>
          <w:rStyle w:val="CharacterStyle2"/>
          <w:rFonts w:ascii="Times New Roman" w:hAnsi="Times New Roman" w:cs="Times New Roman"/>
          <w:spacing w:val="1"/>
          <w:sz w:val="28"/>
          <w:szCs w:val="28"/>
        </w:rPr>
      </w:pPr>
      <w:r w:rsidRPr="00C71C8D">
        <w:rPr>
          <w:rStyle w:val="CharacterStyle2"/>
          <w:rFonts w:ascii="Times New Roman" w:hAnsi="Times New Roman" w:cs="Times New Roman"/>
          <w:spacing w:val="-5"/>
          <w:sz w:val="28"/>
          <w:szCs w:val="28"/>
        </w:rPr>
        <w:t>Una</w:t>
      </w:r>
      <w:r w:rsidR="00BC6467" w:rsidRPr="00C71C8D">
        <w:rPr>
          <w:rStyle w:val="CharacterStyle2"/>
          <w:rFonts w:ascii="Times New Roman" w:hAnsi="Times New Roman" w:cs="Times New Roman"/>
          <w:spacing w:val="-5"/>
          <w:sz w:val="28"/>
          <w:szCs w:val="28"/>
        </w:rPr>
        <w:t xml:space="preserve"> diversa soluzione</w:t>
      </w:r>
      <w:r w:rsidRPr="00C71C8D">
        <w:rPr>
          <w:rStyle w:val="CharacterStyle2"/>
          <w:rFonts w:ascii="Times New Roman" w:hAnsi="Times New Roman" w:cs="Times New Roman"/>
          <w:spacing w:val="-5"/>
          <w:sz w:val="28"/>
          <w:szCs w:val="28"/>
        </w:rPr>
        <w:t>,</w:t>
      </w:r>
      <w:r w:rsidR="00BC6467" w:rsidRPr="00C71C8D">
        <w:rPr>
          <w:rStyle w:val="CharacterStyle2"/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C6467" w:rsidRPr="00C71C8D">
        <w:rPr>
          <w:rStyle w:val="CharacterStyle2"/>
          <w:rFonts w:ascii="Times New Roman" w:hAnsi="Times New Roman" w:cs="Times New Roman"/>
          <w:iCs/>
          <w:spacing w:val="-5"/>
          <w:sz w:val="28"/>
          <w:szCs w:val="28"/>
        </w:rPr>
        <w:t>in realtà</w:t>
      </w:r>
      <w:r w:rsidRPr="00C71C8D">
        <w:rPr>
          <w:rStyle w:val="CharacterStyle2"/>
          <w:rFonts w:ascii="Times New Roman" w:hAnsi="Times New Roman" w:cs="Times New Roman"/>
          <w:iCs/>
          <w:spacing w:val="-5"/>
          <w:sz w:val="28"/>
          <w:szCs w:val="28"/>
        </w:rPr>
        <w:t>,</w:t>
      </w:r>
      <w:r w:rsidR="00BC6467" w:rsidRPr="00C71C8D">
        <w:rPr>
          <w:rStyle w:val="CharacterStyle2"/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ED53B4" w:rsidRPr="00C71C8D">
        <w:rPr>
          <w:rStyle w:val="CharacterStyle2"/>
          <w:rFonts w:ascii="Times New Roman" w:hAnsi="Times New Roman" w:cs="Times New Roman"/>
          <w:iCs/>
          <w:spacing w:val="11"/>
          <w:sz w:val="28"/>
          <w:szCs w:val="28"/>
        </w:rPr>
        <w:t>confonde</w:t>
      </w:r>
      <w:r w:rsidR="00BC6467" w:rsidRPr="00C71C8D">
        <w:rPr>
          <w:rStyle w:val="CharacterStyle2"/>
          <w:rFonts w:ascii="Times New Roman" w:hAnsi="Times New Roman" w:cs="Times New Roman"/>
          <w:iCs/>
          <w:spacing w:val="11"/>
          <w:sz w:val="28"/>
          <w:szCs w:val="28"/>
        </w:rPr>
        <w:t xml:space="preserve"> e sovrappone </w:t>
      </w:r>
      <w:r w:rsidR="00ED53B4" w:rsidRPr="00C71C8D">
        <w:rPr>
          <w:rStyle w:val="CharacterStyle2"/>
          <w:rFonts w:ascii="Times New Roman" w:hAnsi="Times New Roman" w:cs="Times New Roman"/>
          <w:iCs/>
          <w:spacing w:val="11"/>
          <w:sz w:val="28"/>
          <w:szCs w:val="28"/>
        </w:rPr>
        <w:t>l’applicazione</w:t>
      </w:r>
      <w:r w:rsidR="00BC6467" w:rsidRPr="00C71C8D">
        <w:rPr>
          <w:rStyle w:val="CharacterStyle2"/>
          <w:rFonts w:ascii="Times New Roman" w:hAnsi="Times New Roman" w:cs="Times New Roman"/>
          <w:iCs/>
          <w:spacing w:val="11"/>
          <w:sz w:val="28"/>
          <w:szCs w:val="28"/>
        </w:rPr>
        <w:t xml:space="preserve"> di due </w:t>
      </w:r>
      <w:r w:rsidR="00BE3E22" w:rsidRPr="00C71C8D">
        <w:rPr>
          <w:rStyle w:val="CharacterStyle2"/>
          <w:rFonts w:ascii="Times New Roman" w:hAnsi="Times New Roman" w:cs="Times New Roman"/>
          <w:iCs/>
          <w:spacing w:val="11"/>
          <w:sz w:val="28"/>
          <w:szCs w:val="28"/>
        </w:rPr>
        <w:t>norme</w:t>
      </w:r>
      <w:r w:rsidR="00BC6467" w:rsidRPr="00C71C8D">
        <w:rPr>
          <w:rStyle w:val="CharacterStyle2"/>
          <w:rFonts w:ascii="Times New Roman" w:hAnsi="Times New Roman" w:cs="Times New Roman"/>
          <w:iCs/>
          <w:spacing w:val="11"/>
          <w:sz w:val="28"/>
          <w:szCs w:val="28"/>
        </w:rPr>
        <w:t xml:space="preserve"> che, nonostante talune </w:t>
      </w:r>
      <w:r w:rsidR="00BE3E22" w:rsidRPr="00C71C8D">
        <w:rPr>
          <w:rStyle w:val="CharacterStyle2"/>
          <w:rFonts w:ascii="Times New Roman" w:hAnsi="Times New Roman" w:cs="Times New Roman"/>
          <w:iCs/>
          <w:spacing w:val="9"/>
          <w:sz w:val="28"/>
          <w:szCs w:val="28"/>
        </w:rPr>
        <w:t>interferenze</w:t>
      </w:r>
      <w:r w:rsidR="00BC6467" w:rsidRPr="00C71C8D">
        <w:rPr>
          <w:rStyle w:val="CharacterStyle2"/>
          <w:rFonts w:ascii="Times New Roman" w:hAnsi="Times New Roman" w:cs="Times New Roman"/>
          <w:iCs/>
          <w:spacing w:val="9"/>
          <w:sz w:val="28"/>
          <w:szCs w:val="28"/>
        </w:rPr>
        <w:t xml:space="preserve">, disciplinano </w:t>
      </w:r>
      <w:r w:rsidR="00BE3E22" w:rsidRPr="00C71C8D">
        <w:rPr>
          <w:rStyle w:val="CharacterStyle2"/>
          <w:rFonts w:ascii="Times New Roman" w:hAnsi="Times New Roman" w:cs="Times New Roman"/>
          <w:iCs/>
          <w:spacing w:val="9"/>
          <w:sz w:val="28"/>
          <w:szCs w:val="28"/>
        </w:rPr>
        <w:t>situazioni</w:t>
      </w:r>
      <w:r w:rsidR="00BC6467" w:rsidRPr="00C71C8D">
        <w:rPr>
          <w:rStyle w:val="CharacterStyle2"/>
          <w:rFonts w:ascii="Times New Roman" w:hAnsi="Times New Roman" w:cs="Times New Roman"/>
          <w:iCs/>
          <w:spacing w:val="9"/>
          <w:sz w:val="28"/>
          <w:szCs w:val="28"/>
        </w:rPr>
        <w:t xml:space="preserve"> diverse: quella di cui all'art. 2, comma 1, lett. </w:t>
      </w:r>
      <w:r w:rsidR="00BC6467"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 xml:space="preserve">b), che ha riguardo alla </w:t>
      </w:r>
      <w:r w:rsidR="00BE3E22"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>qualificazione</w:t>
      </w:r>
      <w:r w:rsidR="00BC6467" w:rsidRPr="00C71C8D">
        <w:rPr>
          <w:rStyle w:val="CharacterStyle2"/>
          <w:rFonts w:ascii="Times New Roman" w:hAnsi="Times New Roman" w:cs="Times New Roman"/>
          <w:iCs/>
          <w:spacing w:val="8"/>
          <w:sz w:val="28"/>
          <w:szCs w:val="28"/>
        </w:rPr>
        <w:t xml:space="preserve"> dell'area ai fini del criterio del calcolo della </w:t>
      </w:r>
      <w:r w:rsidR="00BC6467"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 xml:space="preserve">base imponibile (art. 5 del decreto citato) ed </w:t>
      </w:r>
      <w:r w:rsidR="00BC6467" w:rsidRPr="00C71C8D">
        <w:rPr>
          <w:rStyle w:val="CharacterStyle2"/>
          <w:rFonts w:ascii="Times New Roman" w:hAnsi="Times New Roman" w:cs="Times New Roman"/>
          <w:b/>
          <w:iCs/>
          <w:spacing w:val="6"/>
          <w:sz w:val="28"/>
          <w:szCs w:val="28"/>
        </w:rPr>
        <w:t>ha carattere oggettivo</w:t>
      </w:r>
      <w:r w:rsidR="00BC6467" w:rsidRPr="00C71C8D">
        <w:rPr>
          <w:rStyle w:val="CharacterStyle2"/>
          <w:rFonts w:ascii="Times New Roman" w:hAnsi="Times New Roman" w:cs="Times New Roman"/>
          <w:iCs/>
          <w:spacing w:val="6"/>
          <w:sz w:val="28"/>
          <w:szCs w:val="28"/>
        </w:rPr>
        <w:t xml:space="preserve">, e quella di cui </w:t>
      </w:r>
      <w:r w:rsidR="00BC6467" w:rsidRPr="00C71C8D">
        <w:rPr>
          <w:rStyle w:val="CharacterStyle2"/>
          <w:rFonts w:ascii="Times New Roman" w:hAnsi="Times New Roman" w:cs="Times New Roman"/>
          <w:iCs/>
          <w:spacing w:val="13"/>
          <w:sz w:val="28"/>
          <w:szCs w:val="28"/>
        </w:rPr>
        <w:t xml:space="preserve">all'art. 9 dello stesso decreto, che invece introduce </w:t>
      </w:r>
      <w:r w:rsidR="00BE3E22" w:rsidRPr="00C71C8D">
        <w:rPr>
          <w:rStyle w:val="CharacterStyle2"/>
          <w:rFonts w:ascii="Times New Roman" w:hAnsi="Times New Roman" w:cs="Times New Roman"/>
          <w:iCs/>
          <w:spacing w:val="13"/>
          <w:sz w:val="28"/>
          <w:szCs w:val="28"/>
        </w:rPr>
        <w:t>agevolazioni</w:t>
      </w:r>
      <w:r w:rsidR="00BC6467" w:rsidRPr="00C71C8D">
        <w:rPr>
          <w:rStyle w:val="CharacterStyle2"/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="00BC6467" w:rsidRPr="00C71C8D">
        <w:rPr>
          <w:rStyle w:val="CharacterStyle2"/>
          <w:rFonts w:ascii="Times New Roman" w:hAnsi="Times New Roman" w:cs="Times New Roman"/>
          <w:b/>
          <w:iCs/>
          <w:spacing w:val="13"/>
          <w:sz w:val="28"/>
          <w:szCs w:val="28"/>
        </w:rPr>
        <w:t xml:space="preserve">di carattere </w:t>
      </w:r>
      <w:r w:rsidR="00BC6467" w:rsidRPr="00C71C8D">
        <w:rPr>
          <w:rStyle w:val="CharacterStyle2"/>
          <w:rFonts w:ascii="Times New Roman" w:hAnsi="Times New Roman" w:cs="Times New Roman"/>
          <w:b/>
          <w:iCs/>
          <w:spacing w:val="4"/>
          <w:sz w:val="28"/>
          <w:szCs w:val="28"/>
        </w:rPr>
        <w:t>soggettivo</w:t>
      </w:r>
      <w:r w:rsidR="00BC6467" w:rsidRPr="00C71C8D">
        <w:rPr>
          <w:rStyle w:val="CharacterStyle2"/>
          <w:rFonts w:ascii="Times New Roman" w:hAnsi="Times New Roman" w:cs="Times New Roman"/>
          <w:iCs/>
          <w:spacing w:val="4"/>
          <w:sz w:val="28"/>
          <w:szCs w:val="28"/>
        </w:rPr>
        <w:t xml:space="preserve"> ai fini del calcolo dell'imposta in concreto applicabile. Evidente del resto </w:t>
      </w:r>
      <w:r w:rsidR="00BC6467" w:rsidRPr="00C71C8D">
        <w:rPr>
          <w:rStyle w:val="CharacterStyle2"/>
          <w:rFonts w:ascii="Times New Roman" w:hAnsi="Times New Roman" w:cs="Times New Roman"/>
          <w:iCs/>
          <w:spacing w:val="5"/>
          <w:sz w:val="28"/>
          <w:szCs w:val="28"/>
        </w:rPr>
        <w:t xml:space="preserve">la relatività cui condurrebbe la conclusione </w:t>
      </w:r>
      <w:r w:rsidR="00BE3E22" w:rsidRPr="00C71C8D">
        <w:rPr>
          <w:rStyle w:val="CharacterStyle2"/>
          <w:rFonts w:ascii="Times New Roman" w:hAnsi="Times New Roman" w:cs="Times New Roman"/>
          <w:iCs/>
          <w:spacing w:val="5"/>
          <w:sz w:val="28"/>
          <w:szCs w:val="28"/>
        </w:rPr>
        <w:t>criticata</w:t>
      </w:r>
      <w:r w:rsidR="00BC6467" w:rsidRPr="00C71C8D">
        <w:rPr>
          <w:rStyle w:val="CharacterStyle2"/>
          <w:rFonts w:ascii="Times New Roman" w:hAnsi="Times New Roman" w:cs="Times New Roman"/>
          <w:iCs/>
          <w:spacing w:val="5"/>
          <w:sz w:val="28"/>
          <w:szCs w:val="28"/>
        </w:rPr>
        <w:t xml:space="preserve">, che, in caso di comunione, </w:t>
      </w:r>
      <w:r w:rsidR="00BC6467" w:rsidRPr="00C71C8D">
        <w:rPr>
          <w:rStyle w:val="CharacterStyle2"/>
          <w:rFonts w:ascii="Times New Roman" w:hAnsi="Times New Roman" w:cs="Times New Roman"/>
          <w:iCs/>
          <w:spacing w:val="3"/>
          <w:sz w:val="28"/>
          <w:szCs w:val="28"/>
        </w:rPr>
        <w:t xml:space="preserve">porterebbe a qualificare un medesimo bene nello stesso tempo come edificabile ovvero </w:t>
      </w:r>
      <w:r w:rsidR="00BC6467" w:rsidRPr="00C71C8D">
        <w:rPr>
          <w:rStyle w:val="CharacterStyle2"/>
          <w:rFonts w:ascii="Times New Roman" w:hAnsi="Times New Roman" w:cs="Times New Roman"/>
          <w:iCs/>
          <w:spacing w:val="1"/>
          <w:sz w:val="28"/>
          <w:szCs w:val="28"/>
        </w:rPr>
        <w:t>come agricolo a seconda della qualità soggettiva dei contribuenti</w:t>
      </w:r>
      <w:r w:rsidR="00BE3E22" w:rsidRPr="00C71C8D">
        <w:rPr>
          <w:rStyle w:val="CharacterStyle2"/>
          <w:rFonts w:ascii="Times New Roman" w:hAnsi="Times New Roman" w:cs="Times New Roman"/>
          <w:iCs/>
          <w:spacing w:val="1"/>
          <w:sz w:val="28"/>
          <w:szCs w:val="28"/>
        </w:rPr>
        <w:t>.</w:t>
      </w:r>
      <w:r w:rsidR="00BC6467" w:rsidRPr="00C71C8D">
        <w:rPr>
          <w:rStyle w:val="CharacterStyle2"/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</w:p>
    <w:p w:rsidR="00BC6467" w:rsidRPr="00C71C8D" w:rsidRDefault="006C597F" w:rsidP="00BE3E22">
      <w:pPr>
        <w:pStyle w:val="Style5"/>
        <w:kinsoku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1C8D">
        <w:rPr>
          <w:rStyle w:val="CharacterStyle1"/>
          <w:rFonts w:ascii="Times New Roman" w:hAnsi="Times New Roman" w:cs="Times New Roman"/>
          <w:spacing w:val="-11"/>
          <w:sz w:val="28"/>
          <w:szCs w:val="28"/>
        </w:rPr>
        <w:t>Quando</w:t>
      </w:r>
      <w:r w:rsidR="00BC6467" w:rsidRPr="00C71C8D">
        <w:rPr>
          <w:rStyle w:val="CharacterStyle1"/>
          <w:rFonts w:ascii="Times New Roman" w:hAnsi="Times New Roman" w:cs="Times New Roman"/>
          <w:spacing w:val="-11"/>
          <w:sz w:val="28"/>
          <w:szCs w:val="28"/>
        </w:rPr>
        <w:t xml:space="preserve"> il terreno è interamente posseduto e </w:t>
      </w:r>
      <w:r w:rsidR="00BC6467" w:rsidRPr="00C71C8D">
        <w:rPr>
          <w:rStyle w:val="CharacterStyle1"/>
          <w:rFonts w:ascii="Times New Roman" w:hAnsi="Times New Roman" w:cs="Times New Roman"/>
          <w:spacing w:val="1"/>
          <w:sz w:val="28"/>
          <w:szCs w:val="28"/>
        </w:rPr>
        <w:t xml:space="preserve">condotto, esercitandovi pacificamente attività agricola, da un </w:t>
      </w:r>
      <w:r w:rsidR="00BC6467" w:rsidRPr="00C71C8D">
        <w:rPr>
          <w:rStyle w:val="CharacterStyle1"/>
          <w:rFonts w:ascii="Times New Roman" w:hAnsi="Times New Roman" w:cs="Times New Roman"/>
          <w:spacing w:val="-10"/>
          <w:sz w:val="28"/>
          <w:szCs w:val="28"/>
        </w:rPr>
        <w:t xml:space="preserve">soggetto che ne è comproprietario e che possiede i requisiti di cui al </w:t>
      </w:r>
      <w:r w:rsidR="00BC6467" w:rsidRPr="00C71C8D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comma 1 dell'art. 9 del d.lgs. n. 504/92 l'agevolazione </w:t>
      </w:r>
      <w:r w:rsidR="00BC6467" w:rsidRPr="00C71C8D">
        <w:rPr>
          <w:rStyle w:val="CharacterStyle1"/>
          <w:rFonts w:ascii="Times New Roman" w:hAnsi="Times New Roman" w:cs="Times New Roman"/>
          <w:spacing w:val="-6"/>
          <w:sz w:val="28"/>
          <w:szCs w:val="28"/>
        </w:rPr>
        <w:t xml:space="preserve">fiscale, essendo correlata a un requisito, lo svolgimento di attività </w:t>
      </w:r>
      <w:r w:rsidR="00BC6467" w:rsidRPr="00C71C8D"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 xml:space="preserve">agricola, che è incompatibile con la possibilità di sfruttamento </w:t>
      </w:r>
      <w:r w:rsidR="00BC6467" w:rsidRPr="00C71C8D">
        <w:rPr>
          <w:rStyle w:val="CharacterStyle1"/>
          <w:rFonts w:ascii="Times New Roman" w:hAnsi="Times New Roman" w:cs="Times New Roman"/>
          <w:sz w:val="28"/>
          <w:szCs w:val="28"/>
        </w:rPr>
        <w:t xml:space="preserve">edificatorio dell'area, si riflette anche a favore degli altri </w:t>
      </w:r>
      <w:r w:rsidR="00BC6467" w:rsidRPr="00C71C8D">
        <w:rPr>
          <w:rStyle w:val="CharacterStyle1"/>
          <w:rFonts w:ascii="Times New Roman" w:hAnsi="Times New Roman" w:cs="Times New Roman"/>
          <w:spacing w:val="-10"/>
          <w:sz w:val="28"/>
          <w:szCs w:val="28"/>
        </w:rPr>
        <w:t xml:space="preserve">comproprietari, i quali, ai sensi dell'art. 1102 cod. civ., non possono </w:t>
      </w:r>
      <w:r w:rsidR="00BC6467" w:rsidRPr="00C71C8D"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 xml:space="preserve">alterare la destinazione del fondo che è finalizzata all'esercizio </w:t>
      </w:r>
      <w:r w:rsidR="00BC6467" w:rsidRPr="00C71C8D">
        <w:rPr>
          <w:rStyle w:val="CharacterStyle1"/>
          <w:rFonts w:ascii="Times New Roman" w:hAnsi="Times New Roman" w:cs="Times New Roman"/>
          <w:spacing w:val="-7"/>
          <w:sz w:val="28"/>
          <w:szCs w:val="28"/>
        </w:rPr>
        <w:t xml:space="preserve">dell'attività agricola da parte di un coltivatore diretto dimodoché, gli </w:t>
      </w:r>
      <w:r w:rsidR="00BC6467" w:rsidRPr="00C71C8D">
        <w:rPr>
          <w:rFonts w:ascii="Times New Roman" w:hAnsi="Times New Roman" w:cs="Times New Roman"/>
          <w:spacing w:val="-9"/>
          <w:sz w:val="28"/>
          <w:szCs w:val="28"/>
        </w:rPr>
        <w:t xml:space="preserve">stessi, si </w:t>
      </w:r>
      <w:r w:rsidR="00BC6467" w:rsidRPr="00C71C8D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trovano in una situazione d'impossibilità di sfruttamento </w:t>
      </w:r>
      <w:r w:rsidR="00BC6467" w:rsidRPr="00C71C8D">
        <w:rPr>
          <w:rFonts w:ascii="Times New Roman" w:hAnsi="Times New Roman" w:cs="Times New Roman"/>
          <w:spacing w:val="-6"/>
          <w:sz w:val="28"/>
          <w:szCs w:val="28"/>
        </w:rPr>
        <w:t>edificatorio dell'area.</w:t>
      </w:r>
    </w:p>
    <w:p w:rsidR="00BE3E22" w:rsidRPr="00C71C8D" w:rsidRDefault="00BC6467" w:rsidP="00BE3E22">
      <w:pPr>
        <w:widowControl w:val="0"/>
        <w:kinsoku w:val="0"/>
        <w:spacing w:after="0" w:line="360" w:lineRule="auto"/>
        <w:jc w:val="both"/>
        <w:rPr>
          <w:rFonts w:ascii="Times New Roman" w:eastAsiaTheme="minorEastAsia" w:hAnsi="Times New Roman" w:cs="Times New Roman"/>
          <w:spacing w:val="3"/>
          <w:sz w:val="28"/>
          <w:szCs w:val="28"/>
          <w:lang w:eastAsia="it-IT"/>
        </w:rPr>
      </w:pPr>
      <w:r w:rsidRPr="00C71C8D">
        <w:rPr>
          <w:rFonts w:ascii="Times New Roman" w:eastAsiaTheme="minorEastAsia" w:hAnsi="Times New Roman" w:cs="Times New Roman"/>
          <w:spacing w:val="5"/>
          <w:sz w:val="28"/>
          <w:szCs w:val="28"/>
          <w:lang w:eastAsia="it-IT"/>
        </w:rPr>
        <w:t xml:space="preserve">L'obbligo di non modificare il bene comune, cioè di non </w:t>
      </w:r>
      <w:r w:rsidRPr="00C71C8D"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  <w:t xml:space="preserve">ostacolarne il godimento da parte di tutti i comunisti secondo </w:t>
      </w:r>
      <w:r w:rsidRPr="00C71C8D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>l'originaria funzione del bene stesso, ovviamente</w:t>
      </w:r>
      <w:r w:rsidR="005E7F35" w:rsidRPr="00C71C8D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>,</w:t>
      </w:r>
      <w:r w:rsidRPr="00C71C8D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 xml:space="preserve"> vale anche in </w:t>
      </w:r>
      <w:r w:rsidRPr="00C71C8D">
        <w:rPr>
          <w:rFonts w:ascii="Times New Roman" w:eastAsiaTheme="minorEastAsia" w:hAnsi="Times New Roman" w:cs="Times New Roman"/>
          <w:spacing w:val="-3"/>
          <w:sz w:val="28"/>
          <w:szCs w:val="28"/>
          <w:lang w:eastAsia="it-IT"/>
        </w:rPr>
        <w:t xml:space="preserve">presenza di accordo unanime, assembleare o negoziale, ovvero </w:t>
      </w:r>
      <w:r w:rsidRPr="00C71C8D">
        <w:rPr>
          <w:rFonts w:ascii="Times New Roman" w:eastAsiaTheme="minorEastAsia" w:hAnsi="Times New Roman" w:cs="Times New Roman"/>
          <w:spacing w:val="-8"/>
          <w:sz w:val="28"/>
          <w:szCs w:val="28"/>
          <w:lang w:eastAsia="it-IT"/>
        </w:rPr>
        <w:t>contrattuale in presenza, ad esempio, di patto d'affitto</w:t>
      </w:r>
      <w:r w:rsidRPr="00C71C8D">
        <w:rPr>
          <w:rFonts w:ascii="Times New Roman" w:eastAsiaTheme="minorEastAsia" w:hAnsi="Times New Roman" w:cs="Times New Roman"/>
          <w:spacing w:val="3"/>
          <w:sz w:val="28"/>
          <w:szCs w:val="28"/>
          <w:lang w:eastAsia="it-IT"/>
        </w:rPr>
        <w:t xml:space="preserve">. </w:t>
      </w:r>
    </w:p>
    <w:p w:rsidR="00BE3E22" w:rsidRPr="00C71C8D" w:rsidRDefault="00BC6467" w:rsidP="00BE3E22">
      <w:pPr>
        <w:widowControl w:val="0"/>
        <w:kinsoku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it-IT"/>
        </w:rPr>
      </w:pPr>
      <w:r w:rsidRPr="00C71C8D">
        <w:rPr>
          <w:rFonts w:ascii="Times New Roman" w:eastAsiaTheme="minorEastAsia" w:hAnsi="Times New Roman" w:cs="Times New Roman"/>
          <w:spacing w:val="3"/>
          <w:sz w:val="28"/>
          <w:szCs w:val="28"/>
          <w:lang w:eastAsia="it-IT"/>
        </w:rPr>
        <w:t xml:space="preserve">Sicché, ogniqualvolta sia stabilito uno sfruttamento </w:t>
      </w:r>
      <w:r w:rsidRPr="00C71C8D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>"</w:t>
      </w:r>
      <w:proofErr w:type="spellStart"/>
      <w:r w:rsidRPr="00C71C8D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>turnario</w:t>
      </w:r>
      <w:proofErr w:type="spellEnd"/>
      <w:r w:rsidRPr="00C71C8D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 xml:space="preserve">" ovvero esclusivo a tempo determinato, col consenso </w:t>
      </w:r>
      <w:r w:rsidRPr="00C71C8D"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 xml:space="preserve">unanime dei comunisti, si realizza un accordo con efficacia </w:t>
      </w:r>
      <w:r w:rsidRPr="00C71C8D">
        <w:rPr>
          <w:rFonts w:ascii="Times New Roman" w:eastAsiaTheme="minorEastAsia" w:hAnsi="Times New Roman" w:cs="Times New Roman"/>
          <w:spacing w:val="-6"/>
          <w:sz w:val="28"/>
          <w:szCs w:val="28"/>
          <w:lang w:eastAsia="it-IT"/>
        </w:rPr>
        <w:t xml:space="preserve">obbligatoria, che, nel corso della sua esecuzione, comporta per il </w:t>
      </w:r>
      <w:r w:rsidRPr="00C71C8D">
        <w:rPr>
          <w:rFonts w:ascii="Times New Roman" w:eastAsiaTheme="minorEastAsia" w:hAnsi="Times New Roman" w:cs="Times New Roman"/>
          <w:spacing w:val="-5"/>
          <w:sz w:val="28"/>
          <w:szCs w:val="28"/>
          <w:lang w:eastAsia="it-IT"/>
        </w:rPr>
        <w:t xml:space="preserve">comunista assegnatario l'esclusiva disponibilità del bene, senza interferenza degli altri comunisti concedenti, ma pur sempre nel rispetto della destinazione della cosa. </w:t>
      </w:r>
    </w:p>
    <w:p w:rsidR="00BC6467" w:rsidRPr="00C71C8D" w:rsidRDefault="00BC6467" w:rsidP="00BE3E22">
      <w:pPr>
        <w:widowControl w:val="0"/>
        <w:kinsoku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eastAsia="it-IT"/>
        </w:rPr>
      </w:pPr>
      <w:r w:rsidRPr="00C71C8D">
        <w:rPr>
          <w:rFonts w:ascii="Times New Roman" w:eastAsiaTheme="minorEastAsia" w:hAnsi="Times New Roman" w:cs="Times New Roman"/>
          <w:spacing w:val="-5"/>
          <w:sz w:val="28"/>
          <w:szCs w:val="28"/>
          <w:lang w:eastAsia="it-IT"/>
        </w:rPr>
        <w:t xml:space="preserve">Il che, in disparte il piano </w:t>
      </w:r>
      <w:r w:rsidRPr="00C71C8D">
        <w:rPr>
          <w:rFonts w:ascii="Times New Roman" w:eastAsiaTheme="minorEastAsia" w:hAnsi="Times New Roman" w:cs="Times New Roman"/>
          <w:spacing w:val="-10"/>
          <w:sz w:val="28"/>
          <w:szCs w:val="28"/>
          <w:lang w:eastAsia="it-IT"/>
        </w:rPr>
        <w:t xml:space="preserve">civilistico, </w:t>
      </w:r>
      <w:r w:rsidR="005E7F35" w:rsidRPr="00C71C8D">
        <w:rPr>
          <w:rFonts w:ascii="Times New Roman" w:eastAsiaTheme="minorEastAsia" w:hAnsi="Times New Roman" w:cs="Times New Roman"/>
          <w:spacing w:val="-10"/>
          <w:sz w:val="28"/>
          <w:szCs w:val="28"/>
          <w:lang w:eastAsia="it-IT"/>
        </w:rPr>
        <w:t>ricade</w:t>
      </w:r>
      <w:r w:rsidRPr="00C71C8D">
        <w:rPr>
          <w:rFonts w:ascii="Times New Roman" w:eastAsiaTheme="minorEastAsia" w:hAnsi="Times New Roman" w:cs="Times New Roman"/>
          <w:spacing w:val="-10"/>
          <w:sz w:val="28"/>
          <w:szCs w:val="28"/>
          <w:lang w:eastAsia="it-IT"/>
        </w:rPr>
        <w:t xml:space="preserve"> sull'imposizione fiscale, nei termini indicati dalla </w:t>
      </w:r>
      <w:r w:rsidRPr="00C71C8D">
        <w:rPr>
          <w:rFonts w:ascii="Times New Roman" w:eastAsiaTheme="minorEastAsia" w:hAnsi="Times New Roman" w:cs="Times New Roman"/>
          <w:spacing w:val="-4"/>
          <w:sz w:val="28"/>
          <w:szCs w:val="28"/>
          <w:lang w:eastAsia="it-IT"/>
        </w:rPr>
        <w:t xml:space="preserve">richiamata giurisprudenza, atteso il sopra definito presupposto </w:t>
      </w:r>
      <w:r w:rsidRPr="00C71C8D">
        <w:rPr>
          <w:rFonts w:ascii="Times New Roman" w:eastAsiaTheme="minorEastAsia" w:hAnsi="Times New Roman" w:cs="Times New Roman"/>
          <w:spacing w:val="-10"/>
          <w:sz w:val="28"/>
          <w:szCs w:val="28"/>
          <w:lang w:eastAsia="it-IT"/>
        </w:rPr>
        <w:t>dell'imposta in esame.</w:t>
      </w:r>
    </w:p>
    <w:p w:rsidR="00BC6467" w:rsidRPr="00C71C8D" w:rsidRDefault="00BE3E22" w:rsidP="00BE3E22">
      <w:pPr>
        <w:pStyle w:val="Style3"/>
        <w:kinsoku w:val="0"/>
        <w:autoSpaceDE/>
        <w:autoSpaceDN/>
        <w:spacing w:before="0" w:line="360" w:lineRule="auto"/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</w:pPr>
      <w:r w:rsidRPr="00C71C8D"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  <w:t xml:space="preserve">Lecce,   </w:t>
      </w:r>
      <w:r w:rsidR="005E7F35" w:rsidRPr="00C71C8D"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  <w:t>07</w:t>
      </w:r>
      <w:r w:rsidRPr="00C71C8D"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  <w:t xml:space="preserve">   luglio 2018</w:t>
      </w:r>
    </w:p>
    <w:p w:rsidR="00BE3E22" w:rsidRPr="00C71C8D" w:rsidRDefault="00BE3E22" w:rsidP="00BE3E22">
      <w:pPr>
        <w:pStyle w:val="Style3"/>
        <w:kinsoku w:val="0"/>
        <w:autoSpaceDE/>
        <w:autoSpaceDN/>
        <w:spacing w:before="0" w:line="360" w:lineRule="auto"/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</w:pPr>
    </w:p>
    <w:p w:rsidR="00BE3E22" w:rsidRPr="00C71C8D" w:rsidRDefault="00BE3E22" w:rsidP="00BE3E22">
      <w:pPr>
        <w:pStyle w:val="Style3"/>
        <w:kinsoku w:val="0"/>
        <w:autoSpaceDE/>
        <w:autoSpaceDN/>
        <w:spacing w:before="0" w:line="360" w:lineRule="auto"/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</w:pPr>
    </w:p>
    <w:p w:rsidR="00BE3E22" w:rsidRPr="00C71C8D" w:rsidRDefault="00BE3E22" w:rsidP="00BE3E22">
      <w:pPr>
        <w:spacing w:after="0" w:line="240" w:lineRule="auto"/>
        <w:ind w:left="-15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71C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AVV. MAURIZIO VILLANI</w:t>
      </w:r>
    </w:p>
    <w:p w:rsidR="00BE3E22" w:rsidRPr="00C71C8D" w:rsidRDefault="00BE3E22" w:rsidP="00BE3E22">
      <w:pPr>
        <w:keepNext/>
        <w:spacing w:after="0" w:line="240" w:lineRule="auto"/>
        <w:ind w:left="-153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71C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Avvocato Tributarista in Lecce</w:t>
      </w:r>
    </w:p>
    <w:p w:rsidR="00BE3E22" w:rsidRPr="00C71C8D" w:rsidRDefault="00BE3E22" w:rsidP="00BE3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1C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</w:t>
      </w:r>
      <w:r w:rsidR="00D459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</w:t>
      </w:r>
      <w:r w:rsidRPr="00C71C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Patrocinante in Cassazione</w:t>
      </w:r>
    </w:p>
    <w:p w:rsidR="00BE3E22" w:rsidRPr="00C71C8D" w:rsidRDefault="00C53A86" w:rsidP="00BE3E22">
      <w:pPr>
        <w:spacing w:after="0" w:line="240" w:lineRule="auto"/>
        <w:ind w:left="-15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hyperlink r:id="rId7" w:history="1">
        <w:r w:rsidR="00BE3E22" w:rsidRPr="00C71C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www.studiotributariovillani.it</w:t>
        </w:r>
      </w:hyperlink>
      <w:r w:rsidR="00BE3E22" w:rsidRPr="00C71C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e-mail </w:t>
      </w:r>
      <w:hyperlink r:id="rId8" w:history="1">
        <w:r w:rsidR="00BE3E22" w:rsidRPr="00C71C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avvocato@studiotributariovillani.it</w:t>
        </w:r>
      </w:hyperlink>
    </w:p>
    <w:p w:rsidR="00BE3E22" w:rsidRPr="00C71C8D" w:rsidRDefault="00BE3E22" w:rsidP="00BE3E22">
      <w:pPr>
        <w:pStyle w:val="Style3"/>
        <w:kinsoku w:val="0"/>
        <w:autoSpaceDE/>
        <w:autoSpaceDN/>
        <w:spacing w:before="0" w:line="360" w:lineRule="auto"/>
        <w:jc w:val="center"/>
        <w:rPr>
          <w:rStyle w:val="CharacterStyle1"/>
          <w:rFonts w:ascii="Times New Roman" w:hAnsi="Times New Roman" w:cs="Times New Roman"/>
          <w:b/>
          <w:i w:val="0"/>
          <w:iCs w:val="0"/>
          <w:spacing w:val="10"/>
          <w:sz w:val="28"/>
          <w:szCs w:val="28"/>
        </w:rPr>
      </w:pPr>
    </w:p>
    <w:p w:rsidR="00025830" w:rsidRPr="00C71C8D" w:rsidRDefault="00025830" w:rsidP="00BE3E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830" w:rsidRPr="00C71C8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86" w:rsidRDefault="00C53A86" w:rsidP="00A915A1">
      <w:pPr>
        <w:spacing w:after="0" w:line="240" w:lineRule="auto"/>
      </w:pPr>
      <w:r>
        <w:separator/>
      </w:r>
    </w:p>
  </w:endnote>
  <w:endnote w:type="continuationSeparator" w:id="0">
    <w:p w:rsidR="00C53A86" w:rsidRDefault="00C53A86" w:rsidP="00A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72065"/>
      <w:docPartObj>
        <w:docPartGallery w:val="Page Numbers (Bottom of Page)"/>
        <w:docPartUnique/>
      </w:docPartObj>
    </w:sdtPr>
    <w:sdtEndPr/>
    <w:sdtContent>
      <w:p w:rsidR="00A915A1" w:rsidRDefault="00A915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15A1" w:rsidRDefault="00A91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86" w:rsidRDefault="00C53A86" w:rsidP="00A915A1">
      <w:pPr>
        <w:spacing w:after="0" w:line="240" w:lineRule="auto"/>
      </w:pPr>
      <w:r>
        <w:separator/>
      </w:r>
    </w:p>
  </w:footnote>
  <w:footnote w:type="continuationSeparator" w:id="0">
    <w:p w:rsidR="00C53A86" w:rsidRDefault="00C53A86" w:rsidP="00A9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7175"/>
    <w:multiLevelType w:val="singleLevel"/>
    <w:tmpl w:val="36D4FCAB"/>
    <w:lvl w:ilvl="0">
      <w:start w:val="6"/>
      <w:numFmt w:val="decimal"/>
      <w:lvlText w:val="%1."/>
      <w:lvlJc w:val="left"/>
      <w:pPr>
        <w:tabs>
          <w:tab w:val="num" w:pos="360"/>
        </w:tabs>
        <w:ind w:firstLine="72"/>
      </w:pPr>
      <w:rPr>
        <w:rFonts w:ascii="Bookman Old Style" w:hAnsi="Bookman Old Style" w:cs="Bookman Old Style"/>
        <w:snapToGrid/>
        <w:spacing w:val="5"/>
        <w:sz w:val="24"/>
        <w:szCs w:val="24"/>
      </w:rPr>
    </w:lvl>
  </w:abstractNum>
  <w:abstractNum w:abstractNumId="1" w15:restartNumberingAfterBreak="0">
    <w:nsid w:val="06BE46E6"/>
    <w:multiLevelType w:val="singleLevel"/>
    <w:tmpl w:val="37E2692A"/>
    <w:lvl w:ilvl="0">
      <w:start w:val="4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Bookman Old Style" w:hAnsi="Bookman Old Style" w:cs="Bookman Old Style"/>
        <w:snapToGrid/>
        <w:spacing w:val="-5"/>
        <w:sz w:val="24"/>
        <w:szCs w:val="24"/>
      </w:rPr>
    </w:lvl>
  </w:abstractNum>
  <w:abstractNum w:abstractNumId="2" w15:restartNumberingAfterBreak="0">
    <w:nsid w:val="552F25C5"/>
    <w:multiLevelType w:val="hybridMultilevel"/>
    <w:tmpl w:val="6F521D50"/>
    <w:lvl w:ilvl="0" w:tplc="105870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4344"/>
    <w:multiLevelType w:val="hybridMultilevel"/>
    <w:tmpl w:val="37F2CF24"/>
    <w:lvl w:ilvl="0" w:tplc="9754F7C0">
      <w:start w:val="1"/>
      <w:numFmt w:val="lowerLetter"/>
      <w:lvlText w:val="%1)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67"/>
    <w:rsid w:val="00025830"/>
    <w:rsid w:val="00155E22"/>
    <w:rsid w:val="00323106"/>
    <w:rsid w:val="004F051C"/>
    <w:rsid w:val="0056749C"/>
    <w:rsid w:val="005E7F35"/>
    <w:rsid w:val="006C597F"/>
    <w:rsid w:val="00815C70"/>
    <w:rsid w:val="008814C5"/>
    <w:rsid w:val="00A5582C"/>
    <w:rsid w:val="00A915A1"/>
    <w:rsid w:val="00BC6467"/>
    <w:rsid w:val="00BE3E22"/>
    <w:rsid w:val="00C53A86"/>
    <w:rsid w:val="00C71C8D"/>
    <w:rsid w:val="00CE0ABA"/>
    <w:rsid w:val="00D459E3"/>
    <w:rsid w:val="00E01EAB"/>
    <w:rsid w:val="00ED53B4"/>
    <w:rsid w:val="00F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0D82-E62C-434A-B8F1-33F5F62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rsid w:val="00BC6467"/>
    <w:pPr>
      <w:widowControl w:val="0"/>
      <w:autoSpaceDE w:val="0"/>
      <w:autoSpaceDN w:val="0"/>
      <w:spacing w:before="144" w:after="0" w:line="456" w:lineRule="exact"/>
      <w:jc w:val="both"/>
    </w:pPr>
    <w:rPr>
      <w:rFonts w:ascii="Garamond" w:eastAsiaTheme="minorEastAsia" w:hAnsi="Garamond" w:cs="Garamond"/>
      <w:i/>
      <w:iCs/>
      <w:lang w:eastAsia="it-IT"/>
    </w:rPr>
  </w:style>
  <w:style w:type="character" w:customStyle="1" w:styleId="CharacterStyle1">
    <w:name w:val="Character Style 1"/>
    <w:uiPriority w:val="99"/>
    <w:rsid w:val="00BC6467"/>
    <w:rPr>
      <w:sz w:val="20"/>
      <w:szCs w:val="20"/>
    </w:rPr>
  </w:style>
  <w:style w:type="character" w:customStyle="1" w:styleId="CharacterStyle2">
    <w:name w:val="Character Style 2"/>
    <w:uiPriority w:val="99"/>
    <w:rsid w:val="00BC6467"/>
    <w:rPr>
      <w:rFonts w:ascii="Garamond" w:hAnsi="Garamond" w:cs="Garamond"/>
      <w:i/>
      <w:iCs/>
      <w:sz w:val="22"/>
      <w:szCs w:val="22"/>
    </w:rPr>
  </w:style>
  <w:style w:type="paragraph" w:customStyle="1" w:styleId="Style4">
    <w:name w:val="Style 4"/>
    <w:basedOn w:val="Normale"/>
    <w:uiPriority w:val="99"/>
    <w:rsid w:val="00BC6467"/>
    <w:pPr>
      <w:widowControl w:val="0"/>
      <w:autoSpaceDE w:val="0"/>
      <w:autoSpaceDN w:val="0"/>
      <w:spacing w:after="0" w:line="456" w:lineRule="exact"/>
      <w:jc w:val="both"/>
    </w:pPr>
    <w:rPr>
      <w:rFonts w:ascii="Garamond" w:eastAsiaTheme="minorEastAsia" w:hAnsi="Garamond" w:cs="Garamond"/>
      <w:i/>
      <w:iCs/>
      <w:lang w:eastAsia="it-IT"/>
    </w:rPr>
  </w:style>
  <w:style w:type="paragraph" w:customStyle="1" w:styleId="Style1">
    <w:name w:val="Style 1"/>
    <w:basedOn w:val="Normale"/>
    <w:uiPriority w:val="99"/>
    <w:rsid w:val="00BC6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5">
    <w:name w:val="Style 5"/>
    <w:basedOn w:val="Normale"/>
    <w:uiPriority w:val="99"/>
    <w:rsid w:val="00BC646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1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5A1"/>
  </w:style>
  <w:style w:type="paragraph" w:styleId="Pidipagina">
    <w:name w:val="footer"/>
    <w:basedOn w:val="Normale"/>
    <w:link w:val="PidipaginaCarattere"/>
    <w:uiPriority w:val="99"/>
    <w:unhideWhenUsed/>
    <w:rsid w:val="00A91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@studiotributariovill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tributariovill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2018-07-07T08:15:00Z</cp:lastPrinted>
  <dcterms:created xsi:type="dcterms:W3CDTF">2018-07-09T07:06:00Z</dcterms:created>
  <dcterms:modified xsi:type="dcterms:W3CDTF">2018-07-09T07:06:00Z</dcterms:modified>
</cp:coreProperties>
</file>