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C0" w:rsidRPr="005766BB" w:rsidRDefault="000C60C0" w:rsidP="000C60C0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36"/>
        </w:rPr>
      </w:pPr>
      <w:bookmarkStart w:id="0" w:name="_GoBack"/>
      <w:bookmarkEnd w:id="0"/>
      <w:r w:rsidRPr="005766BB">
        <w:rPr>
          <w:rFonts w:ascii="Times New Roman" w:hAnsi="Times New Roman" w:cs="Times New Roman"/>
          <w:b/>
          <w:sz w:val="52"/>
          <w:szCs w:val="36"/>
        </w:rPr>
        <w:t>SANZIONI TRIBUTARIE</w:t>
      </w:r>
    </w:p>
    <w:p w:rsidR="000C60C0" w:rsidRDefault="000C60C0" w:rsidP="000C60C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5766BB">
        <w:rPr>
          <w:rFonts w:ascii="Times New Roman" w:hAnsi="Times New Roman" w:cs="Times New Roman"/>
          <w:b/>
          <w:sz w:val="40"/>
          <w:szCs w:val="36"/>
        </w:rPr>
        <w:t>LE OBIETTIVE CONDIZIONI DI INCERTEZZA</w:t>
      </w:r>
    </w:p>
    <w:p w:rsidR="00D65848" w:rsidRPr="005766BB" w:rsidRDefault="00D65848" w:rsidP="000C60C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D65848" w:rsidRDefault="00D65848" w:rsidP="00567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L’art. 8 D.Lgs. n. 546 del 31 dicembre 1992 e successive modifiche ed integrazioni dispone testualmente:</w:t>
      </w:r>
    </w:p>
    <w:p w:rsidR="00D65848" w:rsidRPr="00D65848" w:rsidRDefault="00D65848" w:rsidP="00567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D65848">
        <w:rPr>
          <w:rFonts w:ascii="Times New Roman" w:hAnsi="Times New Roman" w:cs="Times New Roman"/>
          <w:b/>
          <w:sz w:val="28"/>
          <w:szCs w:val="32"/>
        </w:rPr>
        <w:t xml:space="preserve">“La commissione tributaria dichiara non applicabili le sanzioni non penali previste dalle leggi tributarie quando </w:t>
      </w:r>
      <w:r>
        <w:rPr>
          <w:rFonts w:ascii="Times New Roman" w:hAnsi="Times New Roman" w:cs="Times New Roman"/>
          <w:b/>
          <w:sz w:val="28"/>
          <w:szCs w:val="32"/>
        </w:rPr>
        <w:t>la</w:t>
      </w:r>
      <w:r w:rsidRPr="00D65848">
        <w:rPr>
          <w:rFonts w:ascii="Times New Roman" w:hAnsi="Times New Roman" w:cs="Times New Roman"/>
          <w:b/>
          <w:sz w:val="28"/>
          <w:szCs w:val="32"/>
        </w:rPr>
        <w:t xml:space="preserve"> violazione è giustificata da obiettive condizioni di incertezza sulla portata e sull’ambito di applicazione delle disposizioni alle quali si riferisce”.</w:t>
      </w:r>
    </w:p>
    <w:p w:rsidR="003B193D" w:rsidRDefault="00567719" w:rsidP="00567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B60221">
        <w:rPr>
          <w:rFonts w:ascii="Times New Roman" w:hAnsi="Times New Roman" w:cs="Times New Roman"/>
          <w:sz w:val="28"/>
          <w:szCs w:val="32"/>
        </w:rPr>
        <w:t xml:space="preserve">La Corte di </w:t>
      </w:r>
      <w:r w:rsidR="0019239E">
        <w:rPr>
          <w:rFonts w:ascii="Times New Roman" w:hAnsi="Times New Roman" w:cs="Times New Roman"/>
          <w:sz w:val="28"/>
          <w:szCs w:val="32"/>
        </w:rPr>
        <w:t>Cassazione</w:t>
      </w:r>
      <w:r w:rsidRPr="00B60221">
        <w:rPr>
          <w:rFonts w:ascii="Times New Roman" w:hAnsi="Times New Roman" w:cs="Times New Roman"/>
          <w:sz w:val="28"/>
          <w:szCs w:val="32"/>
        </w:rPr>
        <w:t xml:space="preserve"> (cfr. Cass. n. 13076 del 24/06/2015; Cass. n. 4394 del 24/</w:t>
      </w:r>
      <w:r w:rsidR="00DB372C">
        <w:rPr>
          <w:rFonts w:ascii="Times New Roman" w:hAnsi="Times New Roman" w:cs="Times New Roman"/>
          <w:sz w:val="28"/>
          <w:szCs w:val="32"/>
        </w:rPr>
        <w:t>0</w:t>
      </w:r>
      <w:r w:rsidRPr="00B60221">
        <w:rPr>
          <w:rFonts w:ascii="Times New Roman" w:hAnsi="Times New Roman" w:cs="Times New Roman"/>
          <w:sz w:val="28"/>
          <w:szCs w:val="32"/>
        </w:rPr>
        <w:t>2/2014; Cass. n. 3113 del 12/</w:t>
      </w:r>
      <w:r w:rsidR="00DB372C">
        <w:rPr>
          <w:rFonts w:ascii="Times New Roman" w:hAnsi="Times New Roman" w:cs="Times New Roman"/>
          <w:sz w:val="28"/>
          <w:szCs w:val="32"/>
        </w:rPr>
        <w:t>0</w:t>
      </w:r>
      <w:r w:rsidRPr="00B60221">
        <w:rPr>
          <w:rFonts w:ascii="Times New Roman" w:hAnsi="Times New Roman" w:cs="Times New Roman"/>
          <w:sz w:val="28"/>
          <w:szCs w:val="32"/>
        </w:rPr>
        <w:t>2/2014; Cass. n. 24670 del 28/11/2007</w:t>
      </w:r>
      <w:r w:rsidR="0019239E">
        <w:rPr>
          <w:rFonts w:ascii="Times New Roman" w:hAnsi="Times New Roman" w:cs="Times New Roman"/>
          <w:sz w:val="28"/>
          <w:szCs w:val="32"/>
        </w:rPr>
        <w:t>; Cass. n. 18405 del 12/07/2018)</w:t>
      </w:r>
      <w:r w:rsidRPr="00B60221">
        <w:rPr>
          <w:rFonts w:ascii="Times New Roman" w:hAnsi="Times New Roman" w:cs="Times New Roman"/>
          <w:sz w:val="28"/>
          <w:szCs w:val="32"/>
        </w:rPr>
        <w:t xml:space="preserve"> è ripetutamente intervenuta a definire l'ambito di non debenza delle sanzioni enunciando i seguenti principi di diritto</w:t>
      </w:r>
      <w:r w:rsidR="003B193D">
        <w:rPr>
          <w:rFonts w:ascii="Times New Roman" w:hAnsi="Times New Roman" w:cs="Times New Roman"/>
          <w:sz w:val="28"/>
          <w:szCs w:val="32"/>
        </w:rPr>
        <w:t>.</w:t>
      </w:r>
    </w:p>
    <w:p w:rsidR="003B193D" w:rsidRDefault="003B193D" w:rsidP="003B193D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3B193D">
        <w:rPr>
          <w:rFonts w:ascii="Times New Roman" w:hAnsi="Times New Roman" w:cs="Times New Roman"/>
          <w:sz w:val="28"/>
          <w:szCs w:val="32"/>
        </w:rPr>
        <w:t>P</w:t>
      </w:r>
      <w:r w:rsidR="00567719" w:rsidRPr="003B193D">
        <w:rPr>
          <w:rFonts w:ascii="Times New Roman" w:hAnsi="Times New Roman" w:cs="Times New Roman"/>
          <w:sz w:val="28"/>
          <w:szCs w:val="32"/>
        </w:rPr>
        <w:t xml:space="preserve">er </w:t>
      </w:r>
      <w:r w:rsidR="00567719" w:rsidRPr="003B193D">
        <w:rPr>
          <w:rFonts w:ascii="Times New Roman" w:hAnsi="Times New Roman" w:cs="Times New Roman"/>
          <w:b/>
          <w:sz w:val="28"/>
          <w:szCs w:val="32"/>
        </w:rPr>
        <w:t>"incertezza normativa oggettiva tributaria"</w:t>
      </w:r>
      <w:r w:rsidR="00567719" w:rsidRPr="003B193D">
        <w:rPr>
          <w:rFonts w:ascii="Times New Roman" w:hAnsi="Times New Roman" w:cs="Times New Roman"/>
          <w:sz w:val="28"/>
          <w:szCs w:val="32"/>
        </w:rPr>
        <w:t xml:space="preserve"> deve intendersi la situazione giuridica oggettiva, che si crea nella normazione per effetto dell'azione di tutti i formanti del diritto, tra cui in primo luogo, ma non esclusivamente, la produzione normativa, e che è caratterizzata dall'impossibilità, esistente in s</w:t>
      </w:r>
      <w:r w:rsidR="00B60221" w:rsidRPr="003B193D">
        <w:rPr>
          <w:rFonts w:ascii="Times New Roman" w:hAnsi="Times New Roman" w:cs="Times New Roman"/>
          <w:sz w:val="28"/>
          <w:szCs w:val="32"/>
        </w:rPr>
        <w:t>é</w:t>
      </w:r>
      <w:r w:rsidR="00567719" w:rsidRPr="003B193D">
        <w:rPr>
          <w:rFonts w:ascii="Times New Roman" w:hAnsi="Times New Roman" w:cs="Times New Roman"/>
          <w:sz w:val="28"/>
          <w:szCs w:val="32"/>
        </w:rPr>
        <w:t xml:space="preserve"> ed accertata dal giudice, d'individuare con sicurezza ed univocamente, al termine di un procedimento interpretativo metodicamente corretto, la norma giuridica sotto la quale effettuare la sussunzione di un caso di specie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3B193D" w:rsidRDefault="003B193D" w:rsidP="003B193D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L</w:t>
      </w:r>
      <w:r w:rsidR="00567719" w:rsidRPr="003B193D">
        <w:rPr>
          <w:rFonts w:ascii="Times New Roman" w:hAnsi="Times New Roman" w:cs="Times New Roman"/>
          <w:sz w:val="28"/>
          <w:szCs w:val="32"/>
        </w:rPr>
        <w:t xml:space="preserve">'incertezza normativa oggettiva costituisce una situazione </w:t>
      </w:r>
      <w:r w:rsidR="00567719" w:rsidRPr="00EA4F96">
        <w:rPr>
          <w:rFonts w:ascii="Times New Roman" w:hAnsi="Times New Roman" w:cs="Times New Roman"/>
          <w:b/>
          <w:sz w:val="28"/>
          <w:szCs w:val="32"/>
        </w:rPr>
        <w:t>diversa</w:t>
      </w:r>
      <w:r w:rsidR="00567719" w:rsidRPr="003B193D">
        <w:rPr>
          <w:rFonts w:ascii="Times New Roman" w:hAnsi="Times New Roman" w:cs="Times New Roman"/>
          <w:sz w:val="28"/>
          <w:szCs w:val="32"/>
        </w:rPr>
        <w:t xml:space="preserve"> rispetto alla soggettiva ignoranza incolpevole del diritto come emerge dal D.Lgs. 18 dicembre 1997, n. 472, art. 6 che distingue in modo netto le due figure dell'incertezza normativa oggettiva e dell'ignoranza (pur ricollegandovi i medesimi effetti) e perciò l'accertamento di essa è esclusivamente demandata al giudice e non può essere operato dalla amministrazione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B60221" w:rsidRPr="003B193D" w:rsidRDefault="003B193D" w:rsidP="003B193D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L</w:t>
      </w:r>
      <w:r w:rsidR="00567719" w:rsidRPr="003B193D">
        <w:rPr>
          <w:rFonts w:ascii="Times New Roman" w:hAnsi="Times New Roman" w:cs="Times New Roman"/>
          <w:sz w:val="28"/>
          <w:szCs w:val="32"/>
        </w:rPr>
        <w:t xml:space="preserve">'incertezza normativa oggettiva non ha il suo fondamento nell'ignoranza giustificata, ma nell'impossibilità, abbandonato lo stato d'ignoranza, di pervenire comunque allo stato di conoscenza sicura della norma giuridica tributaria. </w:t>
      </w:r>
    </w:p>
    <w:p w:rsidR="00B60221" w:rsidRPr="003B193D" w:rsidRDefault="00567719" w:rsidP="00567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3B193D">
        <w:rPr>
          <w:rFonts w:ascii="Times New Roman" w:hAnsi="Times New Roman" w:cs="Times New Roman"/>
          <w:b/>
          <w:sz w:val="28"/>
          <w:szCs w:val="32"/>
        </w:rPr>
        <w:t xml:space="preserve">L'essenza del fenomeno dell'incertezza normativa oggettiva si può rilevare attraverso una serie di fatti indice, che spetta al giudice accertare e valutare nel loro valore indicativo, e che sono stati individuati a titolo di esempio e, quindi, non esaustivamente: </w:t>
      </w:r>
    </w:p>
    <w:p w:rsidR="00B60221" w:rsidRPr="00B60221" w:rsidRDefault="00567719" w:rsidP="00B6022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B60221">
        <w:rPr>
          <w:rFonts w:ascii="Times New Roman" w:hAnsi="Times New Roman" w:cs="Times New Roman"/>
          <w:sz w:val="28"/>
          <w:szCs w:val="32"/>
        </w:rPr>
        <w:t xml:space="preserve">nella difficoltà d'individuazione delle disposizioni normative, dovuta magari al difetto di esplicite previsioni di legge; </w:t>
      </w:r>
    </w:p>
    <w:p w:rsidR="00B60221" w:rsidRPr="00B60221" w:rsidRDefault="00567719" w:rsidP="00B6022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B60221">
        <w:rPr>
          <w:rFonts w:ascii="Times New Roman" w:hAnsi="Times New Roman" w:cs="Times New Roman"/>
          <w:sz w:val="28"/>
          <w:szCs w:val="32"/>
        </w:rPr>
        <w:t xml:space="preserve"> nella difficoltà di confezione della formula dichiarativa della norma giuridica; </w:t>
      </w:r>
    </w:p>
    <w:p w:rsidR="00B60221" w:rsidRPr="00B60221" w:rsidRDefault="00567719" w:rsidP="00B6022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B60221">
        <w:rPr>
          <w:rFonts w:ascii="Times New Roman" w:hAnsi="Times New Roman" w:cs="Times New Roman"/>
          <w:sz w:val="28"/>
          <w:szCs w:val="32"/>
        </w:rPr>
        <w:t xml:space="preserve">nella difficoltà di determinazione del significato della formula dichiarativa individuata; </w:t>
      </w:r>
    </w:p>
    <w:p w:rsidR="00B60221" w:rsidRPr="00B60221" w:rsidRDefault="00567719" w:rsidP="00B6022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B60221">
        <w:rPr>
          <w:rFonts w:ascii="Times New Roman" w:hAnsi="Times New Roman" w:cs="Times New Roman"/>
          <w:sz w:val="28"/>
          <w:szCs w:val="32"/>
        </w:rPr>
        <w:t xml:space="preserve">nella mancanza di informazioni amministrative o nella loro contraddittorietà; </w:t>
      </w:r>
    </w:p>
    <w:p w:rsidR="00B60221" w:rsidRPr="00B60221" w:rsidRDefault="00567719" w:rsidP="00B6022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B60221">
        <w:rPr>
          <w:rFonts w:ascii="Times New Roman" w:hAnsi="Times New Roman" w:cs="Times New Roman"/>
          <w:sz w:val="28"/>
          <w:szCs w:val="32"/>
        </w:rPr>
        <w:t xml:space="preserve"> nella mancanza di una prassi amministrativa o nell'adozione di prassi amministrative contrastanti; </w:t>
      </w:r>
    </w:p>
    <w:p w:rsidR="00B60221" w:rsidRPr="00B60221" w:rsidRDefault="00567719" w:rsidP="00B6022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B60221">
        <w:rPr>
          <w:rFonts w:ascii="Times New Roman" w:hAnsi="Times New Roman" w:cs="Times New Roman"/>
          <w:sz w:val="28"/>
          <w:szCs w:val="32"/>
        </w:rPr>
        <w:t xml:space="preserve">nella mancanza di precedenti giurisprudenziali; </w:t>
      </w:r>
    </w:p>
    <w:p w:rsidR="00B60221" w:rsidRPr="00B60221" w:rsidRDefault="00567719" w:rsidP="00B6022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B60221">
        <w:rPr>
          <w:rFonts w:ascii="Times New Roman" w:hAnsi="Times New Roman" w:cs="Times New Roman"/>
          <w:sz w:val="28"/>
          <w:szCs w:val="32"/>
        </w:rPr>
        <w:t xml:space="preserve">nella formazione di orientamenti giurisprudenziali contrastanti, magari accompagnati dalla sollecitazione, da parte dei Giudici comuni, di un intervento chiarificatore della Corte </w:t>
      </w:r>
      <w:r w:rsidR="00B60221" w:rsidRPr="00B60221">
        <w:rPr>
          <w:rFonts w:ascii="Times New Roman" w:hAnsi="Times New Roman" w:cs="Times New Roman"/>
          <w:sz w:val="28"/>
          <w:szCs w:val="32"/>
        </w:rPr>
        <w:t>C</w:t>
      </w:r>
      <w:r w:rsidRPr="00B60221">
        <w:rPr>
          <w:rFonts w:ascii="Times New Roman" w:hAnsi="Times New Roman" w:cs="Times New Roman"/>
          <w:sz w:val="28"/>
          <w:szCs w:val="32"/>
        </w:rPr>
        <w:t>ostituzionale</w:t>
      </w:r>
      <w:r w:rsidR="003B193D">
        <w:rPr>
          <w:rFonts w:ascii="Times New Roman" w:hAnsi="Times New Roman" w:cs="Times New Roman"/>
          <w:sz w:val="28"/>
          <w:szCs w:val="32"/>
        </w:rPr>
        <w:t xml:space="preserve"> o d</w:t>
      </w:r>
      <w:r w:rsidR="007B7478">
        <w:rPr>
          <w:rFonts w:ascii="Times New Roman" w:hAnsi="Times New Roman" w:cs="Times New Roman"/>
          <w:sz w:val="28"/>
          <w:szCs w:val="32"/>
        </w:rPr>
        <w:t>e</w:t>
      </w:r>
      <w:r w:rsidR="003B193D">
        <w:rPr>
          <w:rFonts w:ascii="Times New Roman" w:hAnsi="Times New Roman" w:cs="Times New Roman"/>
          <w:sz w:val="28"/>
          <w:szCs w:val="32"/>
        </w:rPr>
        <w:t>lla Corte di Cassazione a Sezioni Unite;</w:t>
      </w:r>
    </w:p>
    <w:p w:rsidR="00B60221" w:rsidRPr="00B60221" w:rsidRDefault="00567719" w:rsidP="00B6022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B60221">
        <w:rPr>
          <w:rFonts w:ascii="Times New Roman" w:hAnsi="Times New Roman" w:cs="Times New Roman"/>
          <w:sz w:val="28"/>
          <w:szCs w:val="32"/>
        </w:rPr>
        <w:t xml:space="preserve">nel contrasto tra prassi amministrativa e orientamento giurisprudenziale; </w:t>
      </w:r>
    </w:p>
    <w:p w:rsidR="00B60221" w:rsidRPr="00B60221" w:rsidRDefault="00567719" w:rsidP="00B6022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B60221">
        <w:rPr>
          <w:rFonts w:ascii="Times New Roman" w:hAnsi="Times New Roman" w:cs="Times New Roman"/>
          <w:sz w:val="28"/>
          <w:szCs w:val="32"/>
        </w:rPr>
        <w:t>nel contrasto tra opinioni dottrinali;</w:t>
      </w:r>
    </w:p>
    <w:p w:rsidR="00B60221" w:rsidRPr="00B60221" w:rsidRDefault="00567719" w:rsidP="00B60221">
      <w:pPr>
        <w:pStyle w:val="Paragrafoelenco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32"/>
        </w:rPr>
      </w:pPr>
      <w:r w:rsidRPr="00B60221">
        <w:rPr>
          <w:rFonts w:ascii="Times New Roman" w:hAnsi="Times New Roman" w:cs="Times New Roman"/>
          <w:sz w:val="28"/>
          <w:szCs w:val="32"/>
        </w:rPr>
        <w:t>nell'adozione di norme di interpretazione autentica o meramente esplicative di norma implicita preesistente.</w:t>
      </w:r>
    </w:p>
    <w:p w:rsidR="00B60221" w:rsidRPr="003B193D" w:rsidRDefault="00567719" w:rsidP="00B602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3B193D">
        <w:rPr>
          <w:rFonts w:ascii="Times New Roman" w:hAnsi="Times New Roman" w:cs="Times New Roman"/>
          <w:b/>
          <w:sz w:val="28"/>
          <w:szCs w:val="32"/>
        </w:rPr>
        <w:t xml:space="preserve">Tali fatti indice devono essere accertati, esaminati ed inseriti in procedimenti interpretativi della formazione che siano metodicamente corretti e che portino inevitabilmente a risultati tra loro contrastanti ed incompatibili. </w:t>
      </w:r>
    </w:p>
    <w:p w:rsidR="00025830" w:rsidRDefault="00567719" w:rsidP="00B602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3B193D">
        <w:rPr>
          <w:rFonts w:ascii="Times New Roman" w:hAnsi="Times New Roman" w:cs="Times New Roman"/>
          <w:b/>
          <w:sz w:val="28"/>
          <w:szCs w:val="32"/>
        </w:rPr>
        <w:t xml:space="preserve">Costituisce, quindi, causa di esenzione del contribuente dalla responsabilità amministrativa tributaria una condizione di inevitabile incertezza sul contenuto, </w:t>
      </w:r>
      <w:r w:rsidRPr="003B193D">
        <w:rPr>
          <w:rFonts w:ascii="Times New Roman" w:hAnsi="Times New Roman" w:cs="Times New Roman"/>
          <w:b/>
          <w:sz w:val="28"/>
          <w:szCs w:val="32"/>
        </w:rPr>
        <w:lastRenderedPageBreak/>
        <w:t>sull'oggetto e sui destinatari della norma tributaria, ossia l'insicurezza ed equivocità del risultato conseguito attraverso la sua interpretazione.</w:t>
      </w:r>
    </w:p>
    <w:p w:rsidR="003B193D" w:rsidRPr="00FD3B2D" w:rsidRDefault="003B193D" w:rsidP="00B602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FD3B2D">
        <w:rPr>
          <w:rFonts w:ascii="Times New Roman" w:hAnsi="Times New Roman" w:cs="Times New Roman"/>
          <w:b/>
          <w:sz w:val="28"/>
          <w:szCs w:val="32"/>
        </w:rPr>
        <w:t xml:space="preserve">In sede contenziosa, per chiedere ed ottenere la non applicazione delle sanzioni tributarie, è bene che il contribuente eccepisca sempre </w:t>
      </w:r>
      <w:r w:rsidR="00FD3B2D">
        <w:rPr>
          <w:rFonts w:ascii="Times New Roman" w:hAnsi="Times New Roman" w:cs="Times New Roman"/>
          <w:b/>
          <w:sz w:val="28"/>
          <w:szCs w:val="32"/>
        </w:rPr>
        <w:t>i</w:t>
      </w:r>
      <w:r w:rsidRPr="00FD3B2D">
        <w:rPr>
          <w:rFonts w:ascii="Times New Roman" w:hAnsi="Times New Roman" w:cs="Times New Roman"/>
          <w:b/>
          <w:sz w:val="28"/>
          <w:szCs w:val="32"/>
        </w:rPr>
        <w:t xml:space="preserve"> documenti quanto sopra esposto.</w:t>
      </w:r>
    </w:p>
    <w:p w:rsidR="00C519A1" w:rsidRDefault="00DB372C" w:rsidP="00B602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proofErr w:type="gramStart"/>
      <w:r>
        <w:rPr>
          <w:rFonts w:ascii="Times New Roman" w:hAnsi="Times New Roman" w:cs="Times New Roman"/>
          <w:b/>
          <w:sz w:val="28"/>
          <w:szCs w:val="32"/>
        </w:rPr>
        <w:t xml:space="preserve">Lecce,  </w:t>
      </w:r>
      <w:r w:rsidR="002A7AEB">
        <w:rPr>
          <w:rFonts w:ascii="Times New Roman" w:hAnsi="Times New Roman" w:cs="Times New Roman"/>
          <w:b/>
          <w:sz w:val="28"/>
          <w:szCs w:val="32"/>
        </w:rPr>
        <w:t>14</w:t>
      </w:r>
      <w:proofErr w:type="gramEnd"/>
      <w:r>
        <w:rPr>
          <w:rFonts w:ascii="Times New Roman" w:hAnsi="Times New Roman" w:cs="Times New Roman"/>
          <w:b/>
          <w:sz w:val="28"/>
          <w:szCs w:val="32"/>
        </w:rPr>
        <w:t xml:space="preserve">   luglio 2018</w:t>
      </w:r>
    </w:p>
    <w:p w:rsidR="007D53DD" w:rsidRDefault="007D53DD" w:rsidP="00B602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7D53DD" w:rsidRDefault="007D53DD" w:rsidP="00B602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  <w:t>Avv. Maurizio Villani</w:t>
      </w:r>
    </w:p>
    <w:p w:rsidR="00DB372C" w:rsidRDefault="007D53DD" w:rsidP="00B602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  <w:t>Dott. Alessandro Villani</w:t>
      </w:r>
    </w:p>
    <w:p w:rsidR="00DB372C" w:rsidRDefault="00DB372C" w:rsidP="00B602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DB372C" w:rsidRDefault="00DB372C" w:rsidP="00B602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DB372C" w:rsidRPr="00DB372C" w:rsidRDefault="00DB372C" w:rsidP="00DB372C">
      <w:pPr>
        <w:spacing w:after="0" w:line="240" w:lineRule="auto"/>
        <w:ind w:left="-1530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DB372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AVV. MAURIZIO VILLANI</w:t>
      </w:r>
    </w:p>
    <w:p w:rsidR="00DB372C" w:rsidRPr="00DB372C" w:rsidRDefault="00DB372C" w:rsidP="00DB372C">
      <w:pPr>
        <w:keepNext/>
        <w:spacing w:after="0" w:line="240" w:lineRule="auto"/>
        <w:ind w:left="-1530"/>
        <w:jc w:val="center"/>
        <w:outlineLvl w:val="5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DB372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Avvocato Tributarista in Lecce</w:t>
      </w:r>
    </w:p>
    <w:p w:rsidR="00DB372C" w:rsidRPr="00DB372C" w:rsidRDefault="00DB372C" w:rsidP="00DB372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DB372C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                                   Patrocinante in Cassazione</w:t>
      </w:r>
    </w:p>
    <w:p w:rsidR="00DB372C" w:rsidRPr="00DB372C" w:rsidRDefault="00737F4B" w:rsidP="00DB372C">
      <w:pPr>
        <w:spacing w:after="0" w:line="240" w:lineRule="auto"/>
        <w:ind w:left="-1530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hyperlink r:id="rId7" w:history="1">
        <w:r w:rsidR="00DB372C" w:rsidRPr="00DB372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it-IT"/>
          </w:rPr>
          <w:t>www.studiotributariovillani.it</w:t>
        </w:r>
      </w:hyperlink>
      <w:r w:rsidR="00DB372C" w:rsidRPr="00DB372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- e-mail </w:t>
      </w:r>
      <w:hyperlink r:id="rId8" w:history="1">
        <w:r w:rsidR="00DB372C" w:rsidRPr="00DB372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it-IT"/>
          </w:rPr>
          <w:t>avvocato@studiotributariovillani.it</w:t>
        </w:r>
      </w:hyperlink>
    </w:p>
    <w:p w:rsidR="00DB372C" w:rsidRPr="00DB372C" w:rsidRDefault="00DB372C" w:rsidP="00DB3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DB372C" w:rsidRPr="00C519A1" w:rsidRDefault="00DB372C" w:rsidP="00DB37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sectPr w:rsidR="00DB372C" w:rsidRPr="00C519A1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F4B" w:rsidRDefault="00737F4B" w:rsidP="00567719">
      <w:pPr>
        <w:spacing w:after="0" w:line="240" w:lineRule="auto"/>
      </w:pPr>
      <w:r>
        <w:separator/>
      </w:r>
    </w:p>
  </w:endnote>
  <w:endnote w:type="continuationSeparator" w:id="0">
    <w:p w:rsidR="00737F4B" w:rsidRDefault="00737F4B" w:rsidP="0056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5123008"/>
      <w:docPartObj>
        <w:docPartGallery w:val="Page Numbers (Bottom of Page)"/>
        <w:docPartUnique/>
      </w:docPartObj>
    </w:sdtPr>
    <w:sdtEndPr/>
    <w:sdtContent>
      <w:p w:rsidR="00567719" w:rsidRDefault="0056771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67719" w:rsidRDefault="005677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F4B" w:rsidRDefault="00737F4B" w:rsidP="00567719">
      <w:pPr>
        <w:spacing w:after="0" w:line="240" w:lineRule="auto"/>
      </w:pPr>
      <w:r>
        <w:separator/>
      </w:r>
    </w:p>
  </w:footnote>
  <w:footnote w:type="continuationSeparator" w:id="0">
    <w:p w:rsidR="00737F4B" w:rsidRDefault="00737F4B" w:rsidP="00567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E5FA8"/>
    <w:multiLevelType w:val="hybridMultilevel"/>
    <w:tmpl w:val="B2F28648"/>
    <w:lvl w:ilvl="0" w:tplc="E0A222C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D76DB"/>
    <w:multiLevelType w:val="hybridMultilevel"/>
    <w:tmpl w:val="0728CC48"/>
    <w:lvl w:ilvl="0" w:tplc="64EAE54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356A5"/>
    <w:multiLevelType w:val="hybridMultilevel"/>
    <w:tmpl w:val="A96C0CF0"/>
    <w:lvl w:ilvl="0" w:tplc="9584744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4371F"/>
    <w:multiLevelType w:val="hybridMultilevel"/>
    <w:tmpl w:val="704482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19"/>
    <w:rsid w:val="00025830"/>
    <w:rsid w:val="000C60C0"/>
    <w:rsid w:val="0019239E"/>
    <w:rsid w:val="002A7AEB"/>
    <w:rsid w:val="00330627"/>
    <w:rsid w:val="003B193D"/>
    <w:rsid w:val="00567719"/>
    <w:rsid w:val="00572447"/>
    <w:rsid w:val="005766BB"/>
    <w:rsid w:val="00737F4B"/>
    <w:rsid w:val="007B7478"/>
    <w:rsid w:val="007D53DD"/>
    <w:rsid w:val="00821C45"/>
    <w:rsid w:val="00A13548"/>
    <w:rsid w:val="00B60221"/>
    <w:rsid w:val="00C519A1"/>
    <w:rsid w:val="00D65848"/>
    <w:rsid w:val="00DB372C"/>
    <w:rsid w:val="00EA4F96"/>
    <w:rsid w:val="00FD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E8F0-37F0-4DB5-B2DD-EB00EC84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77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719"/>
  </w:style>
  <w:style w:type="paragraph" w:styleId="Pidipagina">
    <w:name w:val="footer"/>
    <w:basedOn w:val="Normale"/>
    <w:link w:val="PidipaginaCarattere"/>
    <w:uiPriority w:val="99"/>
    <w:unhideWhenUsed/>
    <w:rsid w:val="005677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7719"/>
  </w:style>
  <w:style w:type="paragraph" w:styleId="Paragrafoelenco">
    <w:name w:val="List Paragraph"/>
    <w:basedOn w:val="Normale"/>
    <w:uiPriority w:val="34"/>
    <w:qFormat/>
    <w:rsid w:val="00B60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ocato@studiotributariovillan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iotributariovilla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Faggiano</dc:creator>
  <cp:keywords/>
  <dc:description/>
  <cp:lastModifiedBy>utente</cp:lastModifiedBy>
  <cp:revision>2</cp:revision>
  <cp:lastPrinted>2018-07-14T07:37:00Z</cp:lastPrinted>
  <dcterms:created xsi:type="dcterms:W3CDTF">2018-07-16T08:24:00Z</dcterms:created>
  <dcterms:modified xsi:type="dcterms:W3CDTF">2018-07-16T08:24:00Z</dcterms:modified>
</cp:coreProperties>
</file>