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95" w:rsidRPr="008C0C04" w:rsidRDefault="00760295" w:rsidP="00760295">
      <w:pPr>
        <w:spacing w:after="180" w:line="480" w:lineRule="atLeast"/>
        <w:textAlignment w:val="baseline"/>
        <w:outlineLvl w:val="1"/>
        <w:rPr>
          <w:rFonts w:ascii="Times New Roman" w:eastAsia="Times New Roman" w:hAnsi="Times New Roman" w:cs="Times New Roman"/>
          <w:i/>
          <w:sz w:val="28"/>
          <w:szCs w:val="28"/>
          <w:lang w:eastAsia="it-IT"/>
        </w:rPr>
      </w:pPr>
      <w:bookmarkStart w:id="0" w:name="_GoBack"/>
      <w:bookmarkEnd w:id="0"/>
    </w:p>
    <w:p w:rsidR="00760295" w:rsidRPr="00FC3E60" w:rsidRDefault="00FC3E60" w:rsidP="00FC3E60">
      <w:pPr>
        <w:spacing w:after="0" w:line="240" w:lineRule="auto"/>
        <w:jc w:val="center"/>
        <w:textAlignment w:val="baseline"/>
        <w:outlineLvl w:val="1"/>
        <w:rPr>
          <w:rFonts w:ascii="Times New Roman" w:eastAsia="Times New Roman" w:hAnsi="Times New Roman" w:cs="Times New Roman"/>
          <w:b/>
          <w:i/>
          <w:sz w:val="28"/>
          <w:szCs w:val="28"/>
          <w:lang w:eastAsia="it-IT"/>
        </w:rPr>
      </w:pPr>
      <w:r w:rsidRPr="00FC3E60">
        <w:rPr>
          <w:rFonts w:ascii="Times New Roman" w:eastAsia="Times New Roman" w:hAnsi="Times New Roman" w:cs="Times New Roman"/>
          <w:b/>
          <w:i/>
          <w:sz w:val="28"/>
          <w:szCs w:val="28"/>
          <w:lang w:eastAsia="it-IT"/>
        </w:rPr>
        <w:t>PROCESSO TRIBUTARIO: INVALIDI GLI ATTI DELL’ADER COMPIUTI DALL’AVVOCATO DEL LIBERO FORO PER NULLITÀ DELLA PROCURA</w:t>
      </w:r>
    </w:p>
    <w:p w:rsidR="00B85E32" w:rsidRDefault="00B85E32" w:rsidP="00040CBE">
      <w:pPr>
        <w:spacing w:after="0" w:line="360" w:lineRule="auto"/>
        <w:jc w:val="both"/>
        <w:rPr>
          <w:rFonts w:ascii="Times New Roman" w:eastAsia="Times New Roman" w:hAnsi="Times New Roman" w:cs="Times New Roman"/>
          <w:b/>
          <w:sz w:val="24"/>
          <w:szCs w:val="24"/>
          <w:lang w:eastAsia="it-IT"/>
        </w:rPr>
      </w:pPr>
    </w:p>
    <w:p w:rsidR="00DB31AD" w:rsidRDefault="00DB31AD" w:rsidP="00040CBE">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w:t>
      </w:r>
      <w:r w:rsidR="00FC3E60">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Principio di diritto</w:t>
      </w:r>
    </w:p>
    <w:p w:rsidR="00DB31AD" w:rsidRDefault="00DB31AD" w:rsidP="00040CBE">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w:t>
      </w:r>
      <w:r w:rsidR="00FC3E60">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Caso di specie</w:t>
      </w:r>
    </w:p>
    <w:p w:rsidR="00DB31AD" w:rsidRDefault="00DB31AD" w:rsidP="00040CBE">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3.</w:t>
      </w:r>
      <w:r w:rsidR="00FC3E60">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Motivazione della sentenza</w:t>
      </w:r>
    </w:p>
    <w:p w:rsidR="00DB31AD" w:rsidRDefault="00DB31AD" w:rsidP="00040CBE">
      <w:pPr>
        <w:spacing w:after="0" w:line="360" w:lineRule="auto"/>
        <w:jc w:val="both"/>
        <w:rPr>
          <w:rFonts w:ascii="Times New Roman" w:eastAsia="Times New Roman" w:hAnsi="Times New Roman" w:cs="Times New Roman"/>
          <w:b/>
          <w:sz w:val="24"/>
          <w:szCs w:val="24"/>
          <w:lang w:eastAsia="it-IT"/>
        </w:rPr>
      </w:pPr>
    </w:p>
    <w:p w:rsidR="00DB31AD" w:rsidRPr="00DB31AD" w:rsidRDefault="00DB31AD" w:rsidP="00040CBE">
      <w:pPr>
        <w:spacing w:after="0" w:line="360" w:lineRule="auto"/>
        <w:jc w:val="both"/>
        <w:rPr>
          <w:rFonts w:ascii="Times New Roman" w:eastAsia="Times New Roman" w:hAnsi="Times New Roman" w:cs="Times New Roman"/>
          <w:b/>
          <w:sz w:val="24"/>
          <w:szCs w:val="24"/>
          <w:lang w:eastAsia="it-IT"/>
        </w:rPr>
      </w:pPr>
    </w:p>
    <w:p w:rsidR="00C522AC" w:rsidRPr="00FC3E60" w:rsidRDefault="00760295" w:rsidP="00FC3E60">
      <w:pPr>
        <w:pStyle w:val="Paragrafoelenco"/>
        <w:numPr>
          <w:ilvl w:val="0"/>
          <w:numId w:val="2"/>
        </w:numPr>
        <w:spacing w:after="0" w:line="360" w:lineRule="auto"/>
        <w:ind w:left="426" w:hanging="426"/>
        <w:jc w:val="both"/>
        <w:rPr>
          <w:rFonts w:ascii="Times New Roman" w:eastAsia="Times New Roman" w:hAnsi="Times New Roman" w:cs="Times New Roman"/>
          <w:b/>
          <w:sz w:val="24"/>
          <w:szCs w:val="24"/>
          <w:lang w:eastAsia="it-IT"/>
        </w:rPr>
      </w:pPr>
      <w:r w:rsidRPr="00FC3E60">
        <w:rPr>
          <w:rFonts w:ascii="Times New Roman" w:eastAsia="Times New Roman" w:hAnsi="Times New Roman" w:cs="Times New Roman"/>
          <w:b/>
          <w:sz w:val="24"/>
          <w:szCs w:val="24"/>
          <w:lang w:eastAsia="it-IT"/>
        </w:rPr>
        <w:t>Principio di diritto</w:t>
      </w:r>
    </w:p>
    <w:p w:rsidR="00760295" w:rsidRDefault="00760295"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Suprema Corte, con sentenza </w:t>
      </w:r>
      <w:r w:rsidRPr="007B00DB">
        <w:rPr>
          <w:rFonts w:ascii="Times New Roman" w:eastAsia="Times New Roman" w:hAnsi="Times New Roman" w:cs="Times New Roman"/>
          <w:b/>
          <w:sz w:val="24"/>
          <w:szCs w:val="24"/>
          <w:lang w:eastAsia="it-IT"/>
        </w:rPr>
        <w:t>n.</w:t>
      </w:r>
      <w:r w:rsidR="00FC3E60" w:rsidRPr="007B00DB">
        <w:rPr>
          <w:rFonts w:ascii="Times New Roman" w:eastAsia="Times New Roman" w:hAnsi="Times New Roman" w:cs="Times New Roman"/>
          <w:b/>
          <w:sz w:val="24"/>
          <w:szCs w:val="24"/>
          <w:lang w:eastAsia="it-IT"/>
        </w:rPr>
        <w:t xml:space="preserve"> </w:t>
      </w:r>
      <w:r w:rsidRPr="007B00DB">
        <w:rPr>
          <w:rFonts w:ascii="Times New Roman" w:eastAsia="Times New Roman" w:hAnsi="Times New Roman" w:cs="Times New Roman"/>
          <w:b/>
          <w:sz w:val="24"/>
          <w:szCs w:val="24"/>
          <w:lang w:eastAsia="it-IT"/>
        </w:rPr>
        <w:t>28684/2018</w:t>
      </w:r>
      <w:r>
        <w:rPr>
          <w:rFonts w:ascii="Times New Roman" w:eastAsia="Times New Roman" w:hAnsi="Times New Roman" w:cs="Times New Roman"/>
          <w:sz w:val="24"/>
          <w:szCs w:val="24"/>
          <w:lang w:eastAsia="it-IT"/>
        </w:rPr>
        <w:t xml:space="preserve"> ha statuito che gli atti di costituzione in giudizio e le controdeduzioni, i ricorsi in appello, i ricorsi per Cassazione proposti dall’</w:t>
      </w:r>
      <w:proofErr w:type="spellStart"/>
      <w:r>
        <w:rPr>
          <w:rFonts w:ascii="Times New Roman" w:eastAsia="Times New Roman" w:hAnsi="Times New Roman" w:cs="Times New Roman"/>
          <w:sz w:val="24"/>
          <w:szCs w:val="24"/>
          <w:lang w:eastAsia="it-IT"/>
        </w:rPr>
        <w:t>AdER</w:t>
      </w:r>
      <w:proofErr w:type="spellEnd"/>
      <w:r>
        <w:rPr>
          <w:rFonts w:ascii="Times New Roman" w:eastAsia="Times New Roman" w:hAnsi="Times New Roman" w:cs="Times New Roman"/>
          <w:sz w:val="24"/>
          <w:szCs w:val="24"/>
          <w:lang w:eastAsia="it-IT"/>
        </w:rPr>
        <w:t xml:space="preserve"> per mezzo di un avvocato del libero foro sono invalidi; da ciò ne discende </w:t>
      </w:r>
      <w:r w:rsidR="00040CBE">
        <w:rPr>
          <w:rFonts w:ascii="Times New Roman" w:eastAsia="Times New Roman" w:hAnsi="Times New Roman" w:cs="Times New Roman"/>
          <w:sz w:val="24"/>
          <w:szCs w:val="24"/>
          <w:lang w:eastAsia="it-IT"/>
        </w:rPr>
        <w:t>l’inammissibilità delle domande giudiziali avanzate e l’inutilizzabilità delle deduzioni e della documentazione depositata nei fascicoli processuali.</w:t>
      </w:r>
    </w:p>
    <w:p w:rsidR="00B85E32" w:rsidRDefault="00B85E32" w:rsidP="00040CBE">
      <w:pPr>
        <w:spacing w:after="0" w:line="360" w:lineRule="auto"/>
        <w:jc w:val="both"/>
        <w:rPr>
          <w:rFonts w:ascii="Times New Roman" w:eastAsia="Times New Roman" w:hAnsi="Times New Roman" w:cs="Times New Roman"/>
          <w:b/>
          <w:i/>
          <w:sz w:val="24"/>
          <w:szCs w:val="24"/>
          <w:lang w:eastAsia="it-IT"/>
        </w:rPr>
      </w:pPr>
    </w:p>
    <w:p w:rsidR="00AC65B7" w:rsidRPr="00DB31AD" w:rsidRDefault="00DB31AD" w:rsidP="00040CBE">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2</w:t>
      </w:r>
      <w:r w:rsidR="00FC3E60">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Caso di specie</w:t>
      </w:r>
    </w:p>
    <w:p w:rsidR="00AC65B7" w:rsidRDefault="00AB0C55"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w:t>
      </w:r>
      <w:r w:rsidR="00C24FF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e P</w:t>
      </w:r>
      <w:r w:rsidR="00C24FF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riassumevano il giudizio introdotto dal loro </w:t>
      </w:r>
      <w:r w:rsidRPr="00AB0C55">
        <w:rPr>
          <w:rFonts w:ascii="Times New Roman" w:eastAsia="Times New Roman" w:hAnsi="Times New Roman" w:cs="Times New Roman"/>
          <w:i/>
          <w:sz w:val="24"/>
          <w:szCs w:val="24"/>
          <w:lang w:eastAsia="it-IT"/>
        </w:rPr>
        <w:t xml:space="preserve">de </w:t>
      </w:r>
      <w:proofErr w:type="spellStart"/>
      <w:r w:rsidRPr="00AB0C55">
        <w:rPr>
          <w:rFonts w:ascii="Times New Roman" w:eastAsia="Times New Roman" w:hAnsi="Times New Roman" w:cs="Times New Roman"/>
          <w:i/>
          <w:sz w:val="24"/>
          <w:szCs w:val="24"/>
          <w:lang w:eastAsia="it-IT"/>
        </w:rPr>
        <w:t>cuius</w:t>
      </w:r>
      <w:proofErr w:type="spellEnd"/>
      <w:r>
        <w:rPr>
          <w:rFonts w:ascii="Times New Roman" w:eastAsia="Times New Roman" w:hAnsi="Times New Roman" w:cs="Times New Roman"/>
          <w:sz w:val="24"/>
          <w:szCs w:val="24"/>
          <w:lang w:eastAsia="it-IT"/>
        </w:rPr>
        <w:t xml:space="preserve"> che, a suo tempo, aveva impugnato il preavviso di fermo di veicolo fondato su 59 cartelle, recanti crediti per sanzioni tributarie e sanzioni relative al </w:t>
      </w:r>
      <w:proofErr w:type="spellStart"/>
      <w:r>
        <w:rPr>
          <w:rFonts w:ascii="Times New Roman" w:eastAsia="Times New Roman" w:hAnsi="Times New Roman" w:cs="Times New Roman"/>
          <w:sz w:val="24"/>
          <w:szCs w:val="24"/>
          <w:lang w:eastAsia="it-IT"/>
        </w:rPr>
        <w:t>C.d.S</w:t>
      </w:r>
      <w:proofErr w:type="spellEnd"/>
      <w:r>
        <w:rPr>
          <w:rFonts w:ascii="Times New Roman" w:eastAsia="Times New Roman" w:hAnsi="Times New Roman" w:cs="Times New Roman"/>
          <w:sz w:val="24"/>
          <w:szCs w:val="24"/>
          <w:lang w:eastAsia="it-IT"/>
        </w:rPr>
        <w:t>, insistendo sull’originaria eccezione di nullità della notifica delle cartelle al portiere e impugnando le sanzioni, in quanto intrasmissibili agli eredi dei trasgressori di leggi tributarie ex artt. 3 e 15 della L.</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 1929.</w:t>
      </w:r>
    </w:p>
    <w:p w:rsidR="00AB0C55" w:rsidRDefault="00AB0C55"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CTP di Roma dichiarava il difetto di giurisdizione in ordine alle cartelle relative alle violazioni del C.d.S. e rigettava la residua impugnazione relativa all’insussistenza dell’obbligo tributario in capo agli eredi, r</w:t>
      </w:r>
      <w:r w:rsidR="004B47E0">
        <w:rPr>
          <w:rFonts w:ascii="Times New Roman" w:eastAsia="Times New Roman" w:hAnsi="Times New Roman" w:cs="Times New Roman"/>
          <w:sz w:val="24"/>
          <w:szCs w:val="24"/>
          <w:lang w:eastAsia="it-IT"/>
        </w:rPr>
        <w:t>itenendo applicabile l’art. 11</w:t>
      </w:r>
      <w:r w:rsidR="00FC3E60">
        <w:rPr>
          <w:rFonts w:ascii="Times New Roman" w:eastAsia="Times New Roman" w:hAnsi="Times New Roman" w:cs="Times New Roman"/>
          <w:sz w:val="24"/>
          <w:szCs w:val="24"/>
          <w:lang w:eastAsia="it-IT"/>
        </w:rPr>
        <w:t>,</w:t>
      </w:r>
      <w:r w:rsidR="004B47E0">
        <w:rPr>
          <w:rFonts w:ascii="Times New Roman" w:eastAsia="Times New Roman" w:hAnsi="Times New Roman" w:cs="Times New Roman"/>
          <w:sz w:val="24"/>
          <w:szCs w:val="24"/>
          <w:lang w:eastAsia="it-IT"/>
        </w:rPr>
        <w:t xml:space="preserve"> c.7</w:t>
      </w:r>
      <w:r w:rsidR="00FC3E60">
        <w:rPr>
          <w:rFonts w:ascii="Times New Roman" w:eastAsia="Times New Roman" w:hAnsi="Times New Roman" w:cs="Times New Roman"/>
          <w:sz w:val="24"/>
          <w:szCs w:val="24"/>
          <w:lang w:eastAsia="it-IT"/>
        </w:rPr>
        <w:t>,</w:t>
      </w:r>
      <w:r w:rsidR="004B47E0">
        <w:rPr>
          <w:rFonts w:ascii="Times New Roman" w:eastAsia="Times New Roman" w:hAnsi="Times New Roman" w:cs="Times New Roman"/>
          <w:sz w:val="24"/>
          <w:szCs w:val="24"/>
          <w:lang w:eastAsia="it-IT"/>
        </w:rPr>
        <w:t xml:space="preserve"> l.</w:t>
      </w:r>
      <w:r w:rsidR="00FC3E60">
        <w:rPr>
          <w:rFonts w:ascii="Times New Roman" w:eastAsia="Times New Roman" w:hAnsi="Times New Roman" w:cs="Times New Roman"/>
          <w:sz w:val="24"/>
          <w:szCs w:val="24"/>
          <w:lang w:eastAsia="it-IT"/>
        </w:rPr>
        <w:t xml:space="preserve"> </w:t>
      </w:r>
      <w:r w:rsidR="004B47E0">
        <w:rPr>
          <w:rFonts w:ascii="Times New Roman" w:eastAsia="Times New Roman" w:hAnsi="Times New Roman" w:cs="Times New Roman"/>
          <w:sz w:val="24"/>
          <w:szCs w:val="24"/>
          <w:lang w:eastAsia="it-IT"/>
        </w:rPr>
        <w:t>n.</w:t>
      </w:r>
      <w:r w:rsidR="00FC3E60">
        <w:rPr>
          <w:rFonts w:ascii="Times New Roman" w:eastAsia="Times New Roman" w:hAnsi="Times New Roman" w:cs="Times New Roman"/>
          <w:sz w:val="24"/>
          <w:szCs w:val="24"/>
          <w:lang w:eastAsia="it-IT"/>
        </w:rPr>
        <w:t xml:space="preserve"> </w:t>
      </w:r>
      <w:r w:rsidR="004B47E0">
        <w:rPr>
          <w:rFonts w:ascii="Times New Roman" w:eastAsia="Times New Roman" w:hAnsi="Times New Roman" w:cs="Times New Roman"/>
          <w:sz w:val="24"/>
          <w:szCs w:val="24"/>
          <w:lang w:eastAsia="it-IT"/>
        </w:rPr>
        <w:t>689/81.</w:t>
      </w:r>
    </w:p>
    <w:p w:rsidR="004B47E0" w:rsidRDefault="004B47E0"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sentenza veniva appellata dai contribuenti dinanzi alla CTR Lazio che rigettava il gravame affermando l’inammissibilità del ricorso di primo grado</w:t>
      </w:r>
      <w:r w:rsidR="0089552D">
        <w:rPr>
          <w:rFonts w:ascii="Times New Roman" w:eastAsia="Times New Roman" w:hAnsi="Times New Roman" w:cs="Times New Roman"/>
          <w:sz w:val="24"/>
          <w:szCs w:val="24"/>
          <w:lang w:eastAsia="it-IT"/>
        </w:rPr>
        <w:t xml:space="preserve"> per la tardiva contestazione delle cartelle esattoriali,</w:t>
      </w:r>
      <w:r>
        <w:rPr>
          <w:rFonts w:ascii="Times New Roman" w:eastAsia="Times New Roman" w:hAnsi="Times New Roman" w:cs="Times New Roman"/>
          <w:sz w:val="24"/>
          <w:szCs w:val="24"/>
          <w:lang w:eastAsia="it-IT"/>
        </w:rPr>
        <w:t xml:space="preserve"> in quanto le cartelle erano state correttamente notificate al contribuente a mezzo di posta raccomandata con avviso di ricevimento.</w:t>
      </w:r>
    </w:p>
    <w:p w:rsidR="004B47E0" w:rsidRDefault="004B47E0"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Avverso la sentenza di secondo gr</w:t>
      </w:r>
      <w:r w:rsidR="0089552D">
        <w:rPr>
          <w:rFonts w:ascii="Times New Roman" w:eastAsia="Times New Roman" w:hAnsi="Times New Roman" w:cs="Times New Roman"/>
          <w:sz w:val="24"/>
          <w:szCs w:val="24"/>
          <w:lang w:eastAsia="it-IT"/>
        </w:rPr>
        <w:t>ado proponevano ricorso per Cassazione i coeredi.</w:t>
      </w:r>
    </w:p>
    <w:p w:rsidR="0089552D" w:rsidRDefault="0089552D"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L’Agenzia delle Entrate e Riscossione si costituiva in giudizio in veste di ente pubblico economico successore universale di Equitalia, ex art. 1, comma 3, D.L.</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193/16 </w:t>
      </w:r>
      <w:proofErr w:type="spellStart"/>
      <w:r>
        <w:rPr>
          <w:rFonts w:ascii="Times New Roman" w:eastAsia="Times New Roman" w:hAnsi="Times New Roman" w:cs="Times New Roman"/>
          <w:sz w:val="24"/>
          <w:szCs w:val="24"/>
          <w:lang w:eastAsia="it-IT"/>
        </w:rPr>
        <w:t>conv</w:t>
      </w:r>
      <w:proofErr w:type="spellEnd"/>
      <w:r>
        <w:rPr>
          <w:rFonts w:ascii="Times New Roman" w:eastAsia="Times New Roman" w:hAnsi="Times New Roman" w:cs="Times New Roman"/>
          <w:sz w:val="24"/>
          <w:szCs w:val="24"/>
          <w:lang w:eastAsia="it-IT"/>
        </w:rPr>
        <w:t>. in L.</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n.</w:t>
      </w:r>
      <w:r w:rsidR="00FC3E6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225/2016.</w:t>
      </w:r>
    </w:p>
    <w:p w:rsidR="0089552D" w:rsidRDefault="0089552D"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La costituzione di </w:t>
      </w:r>
      <w:proofErr w:type="spellStart"/>
      <w:r>
        <w:rPr>
          <w:rFonts w:ascii="Times New Roman" w:eastAsia="Times New Roman" w:hAnsi="Times New Roman" w:cs="Times New Roman"/>
          <w:sz w:val="24"/>
          <w:szCs w:val="24"/>
          <w:lang w:eastAsia="it-IT"/>
        </w:rPr>
        <w:t>A</w:t>
      </w:r>
      <w:r w:rsidR="008C0C04">
        <w:rPr>
          <w:rFonts w:ascii="Times New Roman" w:eastAsia="Times New Roman" w:hAnsi="Times New Roman" w:cs="Times New Roman"/>
          <w:sz w:val="24"/>
          <w:szCs w:val="24"/>
          <w:lang w:eastAsia="it-IT"/>
        </w:rPr>
        <w:t>dER</w:t>
      </w:r>
      <w:proofErr w:type="spellEnd"/>
      <w:r w:rsidR="008C0C04">
        <w:rPr>
          <w:rFonts w:ascii="Times New Roman" w:eastAsia="Times New Roman" w:hAnsi="Times New Roman" w:cs="Times New Roman"/>
          <w:sz w:val="24"/>
          <w:szCs w:val="24"/>
          <w:lang w:eastAsia="it-IT"/>
        </w:rPr>
        <w:t xml:space="preserve"> avveniva con la nomina del difensore di un libero foro, in base a un’allegata procura alle liti, autenticata e rilasciata dall’allora direttore generale di Equitalia Sud S.p.A.</w:t>
      </w:r>
    </w:p>
    <w:p w:rsidR="008C0C04" w:rsidRDefault="008C0C04"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Supremo Consesso</w:t>
      </w:r>
      <w:r w:rsidR="00FC3E6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nella sentenza in esame</w:t>
      </w:r>
      <w:r w:rsidR="00FC3E6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ha affermato la nullità della procura</w:t>
      </w:r>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le ragioni che verranno di seguito esposte.</w:t>
      </w:r>
    </w:p>
    <w:p w:rsidR="00E46D65" w:rsidRDefault="00E46D65" w:rsidP="00040CBE">
      <w:pPr>
        <w:spacing w:after="0" w:line="360" w:lineRule="auto"/>
        <w:jc w:val="both"/>
        <w:rPr>
          <w:rFonts w:ascii="Times New Roman" w:eastAsia="Times New Roman" w:hAnsi="Times New Roman" w:cs="Times New Roman"/>
          <w:b/>
          <w:i/>
          <w:sz w:val="24"/>
          <w:szCs w:val="24"/>
          <w:lang w:eastAsia="it-IT"/>
        </w:rPr>
      </w:pPr>
    </w:p>
    <w:p w:rsidR="008C0C04" w:rsidRPr="00FC3E60" w:rsidRDefault="008C0C04" w:rsidP="00FC3E60">
      <w:pPr>
        <w:pStyle w:val="Paragrafoelenco"/>
        <w:numPr>
          <w:ilvl w:val="0"/>
          <w:numId w:val="3"/>
        </w:numPr>
        <w:spacing w:after="0" w:line="360" w:lineRule="auto"/>
        <w:ind w:left="426" w:hanging="426"/>
        <w:jc w:val="both"/>
        <w:rPr>
          <w:rFonts w:ascii="Times New Roman" w:eastAsia="Times New Roman" w:hAnsi="Times New Roman" w:cs="Times New Roman"/>
          <w:b/>
          <w:sz w:val="24"/>
          <w:szCs w:val="24"/>
          <w:lang w:eastAsia="it-IT"/>
        </w:rPr>
      </w:pPr>
      <w:r w:rsidRPr="00FC3E60">
        <w:rPr>
          <w:rFonts w:ascii="Times New Roman" w:eastAsia="Times New Roman" w:hAnsi="Times New Roman" w:cs="Times New Roman"/>
          <w:b/>
          <w:sz w:val="24"/>
          <w:szCs w:val="24"/>
          <w:lang w:eastAsia="it-IT"/>
        </w:rPr>
        <w:t>Motivazione della sentenza</w:t>
      </w:r>
    </w:p>
    <w:p w:rsidR="00B85E32" w:rsidRDefault="00773794"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Prima di dare contezza dell’iter logico seguito dalla Suprema Corte nella citata sentenza, occorre premettere che </w:t>
      </w:r>
      <w:r w:rsidR="003E078D">
        <w:rPr>
          <w:rFonts w:ascii="Times New Roman" w:eastAsia="Times New Roman" w:hAnsi="Times New Roman" w:cs="Times New Roman"/>
          <w:sz w:val="24"/>
          <w:szCs w:val="24"/>
          <w:lang w:eastAsia="it-IT"/>
        </w:rPr>
        <w:t xml:space="preserve">il </w:t>
      </w:r>
      <w:r w:rsidR="003E078D" w:rsidRPr="000D067A">
        <w:rPr>
          <w:rFonts w:ascii="Times New Roman" w:eastAsia="Times New Roman" w:hAnsi="Times New Roman" w:cs="Times New Roman"/>
          <w:b/>
          <w:sz w:val="24"/>
          <w:szCs w:val="24"/>
          <w:lang w:eastAsia="it-IT"/>
        </w:rPr>
        <w:t>primo comma dell’art.1 del D.L. n.</w:t>
      </w:r>
      <w:r w:rsidR="0077363E" w:rsidRPr="000D067A">
        <w:rPr>
          <w:rFonts w:ascii="Times New Roman" w:eastAsia="Times New Roman" w:hAnsi="Times New Roman" w:cs="Times New Roman"/>
          <w:b/>
          <w:sz w:val="24"/>
          <w:szCs w:val="24"/>
          <w:lang w:eastAsia="it-IT"/>
        </w:rPr>
        <w:t xml:space="preserve"> </w:t>
      </w:r>
      <w:r w:rsidR="003E078D" w:rsidRPr="000D067A">
        <w:rPr>
          <w:rFonts w:ascii="Times New Roman" w:eastAsia="Times New Roman" w:hAnsi="Times New Roman" w:cs="Times New Roman"/>
          <w:b/>
          <w:sz w:val="24"/>
          <w:szCs w:val="24"/>
          <w:lang w:eastAsia="it-IT"/>
        </w:rPr>
        <w:t xml:space="preserve">193/2016 </w:t>
      </w:r>
      <w:r w:rsidR="003E078D">
        <w:rPr>
          <w:rFonts w:ascii="Times New Roman" w:eastAsia="Times New Roman" w:hAnsi="Times New Roman" w:cs="Times New Roman"/>
          <w:sz w:val="24"/>
          <w:szCs w:val="24"/>
          <w:lang w:eastAsia="it-IT"/>
        </w:rPr>
        <w:t xml:space="preserve">prevede che </w:t>
      </w:r>
      <w:r w:rsidR="003E078D" w:rsidRPr="003E078D">
        <w:rPr>
          <w:rFonts w:ascii="Times New Roman" w:eastAsia="Times New Roman" w:hAnsi="Times New Roman" w:cs="Times New Roman"/>
          <w:i/>
          <w:sz w:val="24"/>
          <w:szCs w:val="24"/>
          <w:lang w:eastAsia="it-IT"/>
        </w:rPr>
        <w:t>“A decorrere dal 1° luglio 2017 le società del Gruppo Equitalia sono sciolte, a esclusione della società di cui alla lettera b) del comma 11, che svolge funzioni diverse dalla riscossione. Le stesse sono cancellate d’ufficio dal registro delle imprese ed estinte, senza che sia esperita alcuna procedura di liquidazione…”</w:t>
      </w:r>
      <w:r w:rsidR="003E078D">
        <w:rPr>
          <w:rFonts w:ascii="Times New Roman" w:eastAsia="Times New Roman" w:hAnsi="Times New Roman" w:cs="Times New Roman"/>
          <w:sz w:val="24"/>
          <w:szCs w:val="24"/>
          <w:lang w:eastAsia="it-IT"/>
        </w:rPr>
        <w:t>.</w:t>
      </w:r>
    </w:p>
    <w:p w:rsidR="003E078D" w:rsidRDefault="003E078D" w:rsidP="00040CBE">
      <w:pPr>
        <w:spacing w:after="0" w:line="360" w:lineRule="auto"/>
        <w:jc w:val="both"/>
        <w:rPr>
          <w:rFonts w:ascii="Times New Roman" w:hAnsi="Times New Roman" w:cs="Times New Roman"/>
          <w:i/>
          <w:sz w:val="24"/>
          <w:szCs w:val="24"/>
        </w:rPr>
      </w:pPr>
      <w:r w:rsidRPr="000D067A">
        <w:rPr>
          <w:rFonts w:ascii="Times New Roman" w:eastAsia="Times New Roman" w:hAnsi="Times New Roman" w:cs="Times New Roman"/>
          <w:b/>
          <w:sz w:val="24"/>
          <w:szCs w:val="24"/>
          <w:lang w:eastAsia="it-IT"/>
        </w:rPr>
        <w:t>Il successivo comma 2</w:t>
      </w:r>
      <w:r>
        <w:rPr>
          <w:rFonts w:ascii="Times New Roman" w:eastAsia="Times New Roman" w:hAnsi="Times New Roman" w:cs="Times New Roman"/>
          <w:sz w:val="24"/>
          <w:szCs w:val="24"/>
          <w:lang w:eastAsia="it-IT"/>
        </w:rPr>
        <w:t xml:space="preserve"> enuncia, inoltre, </w:t>
      </w:r>
      <w:r w:rsidRPr="003E078D">
        <w:rPr>
          <w:rFonts w:ascii="Times New Roman" w:eastAsia="Times New Roman" w:hAnsi="Times New Roman" w:cs="Times New Roman"/>
          <w:i/>
          <w:sz w:val="24"/>
          <w:szCs w:val="24"/>
          <w:lang w:eastAsia="it-IT"/>
        </w:rPr>
        <w:t>“</w:t>
      </w:r>
      <w:r w:rsidRPr="003E078D">
        <w:rPr>
          <w:rFonts w:ascii="Times New Roman" w:hAnsi="Times New Roman" w:cs="Times New Roman"/>
          <w:i/>
          <w:sz w:val="24"/>
          <w:szCs w:val="24"/>
        </w:rPr>
        <w:t>dalla data di cui al comma 1, l’esercizio delle funzioni relative alla riscossione nazionale, di cui all’articolo </w:t>
      </w:r>
      <w:hyperlink r:id="rId8" w:history="1">
        <w:r w:rsidRPr="003E078D">
          <w:rPr>
            <w:rStyle w:val="Collegamentoipertestuale"/>
            <w:rFonts w:ascii="Times New Roman" w:hAnsi="Times New Roman" w:cs="Times New Roman"/>
            <w:i/>
            <w:color w:val="auto"/>
            <w:sz w:val="24"/>
            <w:szCs w:val="24"/>
            <w:u w:val="none"/>
          </w:rPr>
          <w:t>3, comma 1, del decreto-legge 30 settembre 2005, n. 203</w:t>
        </w:r>
      </w:hyperlink>
      <w:r w:rsidRPr="003E078D">
        <w:rPr>
          <w:rFonts w:ascii="Times New Roman" w:hAnsi="Times New Roman" w:cs="Times New Roman"/>
          <w:i/>
          <w:sz w:val="24"/>
          <w:szCs w:val="24"/>
        </w:rPr>
        <w:t>, convertito, con modificazioni, dalla </w:t>
      </w:r>
      <w:hyperlink r:id="rId9" w:history="1">
        <w:r w:rsidRPr="003E078D">
          <w:rPr>
            <w:rStyle w:val="Collegamentoipertestuale"/>
            <w:rFonts w:ascii="Times New Roman" w:hAnsi="Times New Roman" w:cs="Times New Roman"/>
            <w:i/>
            <w:color w:val="auto"/>
            <w:sz w:val="24"/>
            <w:szCs w:val="24"/>
            <w:u w:val="none"/>
          </w:rPr>
          <w:t>legge 2 dicembre 2005, n. 248</w:t>
        </w:r>
      </w:hyperlink>
      <w:r w:rsidRPr="003E078D">
        <w:rPr>
          <w:rFonts w:ascii="Times New Roman" w:hAnsi="Times New Roman" w:cs="Times New Roman"/>
          <w:i/>
          <w:sz w:val="24"/>
          <w:szCs w:val="24"/>
        </w:rPr>
        <w:t>, è attribuito all’Agenzia delle entrate di cui all’articolo </w:t>
      </w:r>
      <w:hyperlink r:id="rId10" w:history="1">
        <w:r w:rsidRPr="003E078D">
          <w:rPr>
            <w:rStyle w:val="Collegamentoipertestuale"/>
            <w:rFonts w:ascii="Times New Roman" w:hAnsi="Times New Roman" w:cs="Times New Roman"/>
            <w:i/>
            <w:color w:val="auto"/>
            <w:sz w:val="24"/>
            <w:szCs w:val="24"/>
            <w:u w:val="none"/>
          </w:rPr>
          <w:t>62 del decreto legislativo 30 luglio 1999, n. 300</w:t>
        </w:r>
      </w:hyperlink>
      <w:r w:rsidRPr="003E078D">
        <w:rPr>
          <w:rFonts w:ascii="Times New Roman" w:hAnsi="Times New Roman" w:cs="Times New Roman"/>
          <w:i/>
          <w:sz w:val="24"/>
          <w:szCs w:val="24"/>
        </w:rPr>
        <w:t>, ed è svolto dall’ente strumentale di cui al comma 3”</w:t>
      </w:r>
      <w:r w:rsidR="00F55344">
        <w:rPr>
          <w:rFonts w:ascii="Times New Roman" w:hAnsi="Times New Roman" w:cs="Times New Roman"/>
          <w:i/>
          <w:sz w:val="24"/>
          <w:szCs w:val="24"/>
        </w:rPr>
        <w:t>.</w:t>
      </w:r>
    </w:p>
    <w:p w:rsidR="00F55344" w:rsidRDefault="00F55344" w:rsidP="00040CBE">
      <w:pPr>
        <w:spacing w:after="0" w:line="36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it-IT"/>
        </w:rPr>
        <w:t xml:space="preserve">Il citato comma 3, richiamato </w:t>
      </w:r>
      <w:proofErr w:type="spellStart"/>
      <w:r w:rsidR="00535737">
        <w:rPr>
          <w:rFonts w:ascii="Times New Roman" w:eastAsia="Times New Roman" w:hAnsi="Times New Roman" w:cs="Times New Roman"/>
          <w:sz w:val="24"/>
          <w:szCs w:val="24"/>
          <w:lang w:eastAsia="it-IT"/>
        </w:rPr>
        <w:t>ex</w:t>
      </w:r>
      <w:r w:rsidR="00A7025F">
        <w:rPr>
          <w:rFonts w:ascii="Times New Roman" w:eastAsia="Times New Roman" w:hAnsi="Times New Roman" w:cs="Times New Roman"/>
          <w:sz w:val="24"/>
          <w:szCs w:val="24"/>
          <w:lang w:eastAsia="it-IT"/>
        </w:rPr>
        <w:t>pressis</w:t>
      </w:r>
      <w:proofErr w:type="spellEnd"/>
      <w:r w:rsidR="00A7025F">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verbis</w:t>
      </w:r>
      <w:proofErr w:type="spellEnd"/>
      <w:r>
        <w:rPr>
          <w:rFonts w:ascii="Times New Roman" w:eastAsia="Times New Roman" w:hAnsi="Times New Roman" w:cs="Times New Roman"/>
          <w:sz w:val="24"/>
          <w:szCs w:val="24"/>
          <w:lang w:eastAsia="it-IT"/>
        </w:rPr>
        <w:t xml:space="preserve"> dal predetto </w:t>
      </w:r>
      <w:r w:rsidRPr="00535737">
        <w:rPr>
          <w:rFonts w:ascii="Times New Roman" w:eastAsia="Times New Roman" w:hAnsi="Times New Roman" w:cs="Times New Roman"/>
          <w:b/>
          <w:sz w:val="24"/>
          <w:szCs w:val="24"/>
          <w:lang w:eastAsia="it-IT"/>
        </w:rPr>
        <w:t>comma 2</w:t>
      </w:r>
      <w:r>
        <w:rPr>
          <w:rFonts w:ascii="Times New Roman" w:eastAsia="Times New Roman" w:hAnsi="Times New Roman" w:cs="Times New Roman"/>
          <w:sz w:val="24"/>
          <w:szCs w:val="24"/>
          <w:lang w:eastAsia="it-IT"/>
        </w:rPr>
        <w:t xml:space="preserve">, enuncia: </w:t>
      </w:r>
      <w:r w:rsidRPr="00F55344">
        <w:rPr>
          <w:rFonts w:ascii="Times New Roman" w:eastAsia="Times New Roman" w:hAnsi="Times New Roman" w:cs="Times New Roman"/>
          <w:i/>
          <w:sz w:val="24"/>
          <w:szCs w:val="24"/>
          <w:lang w:eastAsia="it-IT"/>
        </w:rPr>
        <w:t>“</w:t>
      </w:r>
      <w:r w:rsidRPr="00F55344">
        <w:rPr>
          <w:rFonts w:ascii="Times New Roman" w:hAnsi="Times New Roman" w:cs="Times New Roman"/>
          <w:i/>
          <w:sz w:val="24"/>
          <w:szCs w:val="24"/>
        </w:rPr>
        <w:t xml:space="preserve">Al fine di garantire la continuità e la funzionalità delle attività di riscossione, è istituito, a far data dal 1º luglio 2017, un ente pubblico economico, </w:t>
      </w:r>
      <w:r w:rsidRPr="00F55344">
        <w:rPr>
          <w:rFonts w:ascii="Times New Roman" w:hAnsi="Times New Roman" w:cs="Times New Roman"/>
          <w:b/>
          <w:i/>
          <w:sz w:val="24"/>
          <w:szCs w:val="24"/>
        </w:rPr>
        <w:t>denominato "Agenzia delle entrate-Riscossione", ente strumentale dell’Agenzia delle entrate sottoposto all’indirizzo e alla vigilanza del Ministro dell’economia e delle finanze</w:t>
      </w:r>
      <w:r w:rsidRPr="00F55344">
        <w:rPr>
          <w:rFonts w:ascii="Times New Roman" w:hAnsi="Times New Roman" w:cs="Times New Roman"/>
          <w:i/>
          <w:sz w:val="24"/>
          <w:szCs w:val="24"/>
        </w:rPr>
        <w:t>. L’Agenzia delle entrate provvede a monitorare costantemente l’attività dell’Agenzia delle entrate-Riscossione, secondo principi di trasparenza e pubblicità. L’ente subentra, a titolo universale, nei rapporti giuridici attivi e passivi, anche processuali, delle società del Gruppo Equitalia di cui al comma 1 e assume la qualifica di agente della riscossione con i poteri e secondo le disposizioni di cui al titolo I, capo II, e al titolo II, del </w:t>
      </w:r>
      <w:hyperlink r:id="rId11" w:history="1">
        <w:r w:rsidRPr="00F55344">
          <w:rPr>
            <w:rStyle w:val="Collegamentoipertestuale"/>
            <w:rFonts w:ascii="Times New Roman" w:hAnsi="Times New Roman" w:cs="Times New Roman"/>
            <w:i/>
            <w:color w:val="auto"/>
            <w:sz w:val="24"/>
            <w:szCs w:val="24"/>
            <w:u w:val="none"/>
          </w:rPr>
          <w:t>decreto del Presidente della Repubblica 29 settembre 1973, n. 602</w:t>
        </w:r>
      </w:hyperlink>
      <w:r w:rsidRPr="00F55344">
        <w:rPr>
          <w:rFonts w:ascii="Times New Roman" w:hAnsi="Times New Roman" w:cs="Times New Roman"/>
          <w:i/>
          <w:sz w:val="24"/>
          <w:szCs w:val="24"/>
        </w:rPr>
        <w:t>. L’ente può anche svolgere le attività di riscossione delle entrate tributarie o patrimoniali delle amministrazioni locali, come individuate dall'Istituto nazionale di statistica (ISTAT) ai sensi dell'articolo </w:t>
      </w:r>
      <w:hyperlink r:id="rId12" w:history="1">
        <w:r w:rsidRPr="00F55344">
          <w:rPr>
            <w:rStyle w:val="Collegamentoipertestuale"/>
            <w:rFonts w:ascii="Times New Roman" w:hAnsi="Times New Roman" w:cs="Times New Roman"/>
            <w:i/>
            <w:color w:val="auto"/>
            <w:sz w:val="24"/>
            <w:szCs w:val="24"/>
            <w:u w:val="none"/>
          </w:rPr>
          <w:t>1, comma 3, della legge 31 dicembre 2009, n. 196</w:t>
        </w:r>
      </w:hyperlink>
      <w:r w:rsidRPr="00F55344">
        <w:rPr>
          <w:rFonts w:ascii="Times New Roman" w:hAnsi="Times New Roman" w:cs="Times New Roman"/>
          <w:i/>
          <w:sz w:val="24"/>
          <w:szCs w:val="24"/>
        </w:rPr>
        <w:t>, con esclusione delle società di riscossione, e, fermo restando quanto previsto dall'articolo </w:t>
      </w:r>
      <w:hyperlink r:id="rId13" w:history="1">
        <w:r w:rsidRPr="00F55344">
          <w:rPr>
            <w:rStyle w:val="Collegamentoipertestuale"/>
            <w:rFonts w:ascii="Times New Roman" w:hAnsi="Times New Roman" w:cs="Times New Roman"/>
            <w:i/>
            <w:color w:val="auto"/>
            <w:sz w:val="24"/>
            <w:szCs w:val="24"/>
            <w:u w:val="none"/>
          </w:rPr>
          <w:t>17, commi 3-bis e 3-ter, del decreto legislativo 26 febbraio 1999, n. 46</w:t>
        </w:r>
      </w:hyperlink>
      <w:r w:rsidRPr="00F55344">
        <w:rPr>
          <w:rFonts w:ascii="Times New Roman" w:hAnsi="Times New Roman" w:cs="Times New Roman"/>
          <w:i/>
          <w:sz w:val="24"/>
          <w:szCs w:val="24"/>
        </w:rPr>
        <w:t xml:space="preserve">, delle società da esse partecipate. L’ente ha autonomia organizzativa, patrimoniale, contabile e di </w:t>
      </w:r>
      <w:r w:rsidRPr="00F55344">
        <w:rPr>
          <w:rFonts w:ascii="Times New Roman" w:hAnsi="Times New Roman" w:cs="Times New Roman"/>
          <w:i/>
          <w:sz w:val="24"/>
          <w:szCs w:val="24"/>
        </w:rPr>
        <w:lastRenderedPageBreak/>
        <w:t xml:space="preserve">gestione. Sono organi dell’ente il presidente, il comitato di gestione e il collegio dei revisori dei conti, il cui presidente è scelto tra i magistrati della Corte dei </w:t>
      </w:r>
      <w:r>
        <w:rPr>
          <w:rFonts w:ascii="Times New Roman" w:hAnsi="Times New Roman" w:cs="Times New Roman"/>
          <w:i/>
          <w:sz w:val="24"/>
          <w:szCs w:val="24"/>
        </w:rPr>
        <w:t>C</w:t>
      </w:r>
      <w:r w:rsidRPr="00F55344">
        <w:rPr>
          <w:rFonts w:ascii="Times New Roman" w:hAnsi="Times New Roman" w:cs="Times New Roman"/>
          <w:i/>
          <w:sz w:val="24"/>
          <w:szCs w:val="24"/>
        </w:rPr>
        <w:t>onti</w:t>
      </w:r>
      <w:r>
        <w:rPr>
          <w:rFonts w:ascii="Times New Roman" w:hAnsi="Times New Roman" w:cs="Times New Roman"/>
          <w:i/>
          <w:sz w:val="24"/>
          <w:szCs w:val="24"/>
        </w:rPr>
        <w:t>”.</w:t>
      </w:r>
    </w:p>
    <w:p w:rsidR="00F55344" w:rsidRDefault="00F55344" w:rsidP="00040CBE">
      <w:pPr>
        <w:spacing w:after="0" w:line="36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Secondo la giurisprudenza di legittimità</w:t>
      </w:r>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il trasferimento di funzioni operato dalla citata normativa ha</w:t>
      </w:r>
      <w:r w:rsidR="0077363E">
        <w:rPr>
          <w:rFonts w:ascii="Times New Roman" w:eastAsia="Times New Roman" w:hAnsi="Times New Roman" w:cs="Times New Roman"/>
          <w:sz w:val="24"/>
          <w:szCs w:val="24"/>
          <w:lang w:eastAsia="it-IT"/>
        </w:rPr>
        <w:t xml:space="preserve"> comportato</w:t>
      </w:r>
      <w:r w:rsidR="003407CC">
        <w:rPr>
          <w:rFonts w:ascii="Times New Roman" w:eastAsia="Times New Roman" w:hAnsi="Times New Roman" w:cs="Times New Roman"/>
          <w:sz w:val="24"/>
          <w:szCs w:val="24"/>
          <w:lang w:eastAsia="it-IT"/>
        </w:rPr>
        <w:t>, sul piano processuale, il verificarsi non del fenomeno successorio  ex art.</w:t>
      </w:r>
      <w:r w:rsidR="0077363E">
        <w:rPr>
          <w:rFonts w:ascii="Times New Roman" w:eastAsia="Times New Roman" w:hAnsi="Times New Roman" w:cs="Times New Roman"/>
          <w:sz w:val="24"/>
          <w:szCs w:val="24"/>
          <w:lang w:eastAsia="it-IT"/>
        </w:rPr>
        <w:t xml:space="preserve"> </w:t>
      </w:r>
      <w:r w:rsidR="003407CC">
        <w:rPr>
          <w:rFonts w:ascii="Times New Roman" w:eastAsia="Times New Roman" w:hAnsi="Times New Roman" w:cs="Times New Roman"/>
          <w:sz w:val="24"/>
          <w:szCs w:val="24"/>
          <w:lang w:eastAsia="it-IT"/>
        </w:rPr>
        <w:t>110 c.p.c.</w:t>
      </w:r>
      <w:r w:rsidR="0077363E">
        <w:rPr>
          <w:rFonts w:ascii="Times New Roman" w:eastAsia="Times New Roman" w:hAnsi="Times New Roman" w:cs="Times New Roman"/>
          <w:sz w:val="24"/>
          <w:szCs w:val="24"/>
          <w:lang w:eastAsia="it-IT"/>
        </w:rPr>
        <w:t xml:space="preserve">, </w:t>
      </w:r>
      <w:r w:rsidR="003407CC">
        <w:rPr>
          <w:rFonts w:ascii="Times New Roman" w:eastAsia="Times New Roman" w:hAnsi="Times New Roman" w:cs="Times New Roman"/>
          <w:sz w:val="24"/>
          <w:szCs w:val="24"/>
          <w:lang w:eastAsia="it-IT"/>
        </w:rPr>
        <w:t>che comporta la successione nel processo nell’ipotesi del “venir meno” della parte per morte o per altra causa, bensì</w:t>
      </w:r>
      <w:r w:rsidR="008F4C41">
        <w:rPr>
          <w:rFonts w:ascii="Times New Roman" w:eastAsia="Times New Roman" w:hAnsi="Times New Roman" w:cs="Times New Roman"/>
          <w:sz w:val="24"/>
          <w:szCs w:val="24"/>
          <w:lang w:eastAsia="it-IT"/>
        </w:rPr>
        <w:t xml:space="preserve"> di quello ex art. 111 c.p.c., con un’eventuale legittimazione concorrente e non sostitutiva del successore a titolo particolare, in quanto la norma ha concepito un nuovo soggetto giuridico come </w:t>
      </w:r>
      <w:r w:rsidR="008F4C41" w:rsidRPr="008F4C41">
        <w:rPr>
          <w:rFonts w:ascii="Times New Roman" w:eastAsia="Times New Roman" w:hAnsi="Times New Roman" w:cs="Times New Roman"/>
          <w:i/>
          <w:sz w:val="24"/>
          <w:szCs w:val="24"/>
          <w:lang w:eastAsia="it-IT"/>
        </w:rPr>
        <w:t>“un destinatario di un trasferimento di funzioni e di attribuzioni prima conferite ad altri</w:t>
      </w:r>
      <w:r w:rsidR="0077363E">
        <w:rPr>
          <w:rFonts w:ascii="Times New Roman" w:eastAsia="Times New Roman" w:hAnsi="Times New Roman" w:cs="Times New Roman"/>
          <w:i/>
          <w:sz w:val="24"/>
          <w:szCs w:val="24"/>
          <w:lang w:eastAsia="it-IT"/>
        </w:rPr>
        <w:t xml:space="preserve"> </w:t>
      </w:r>
      <w:r w:rsidR="008F4C41" w:rsidRPr="008F4C41">
        <w:rPr>
          <w:rFonts w:ascii="Times New Roman" w:eastAsia="Times New Roman" w:hAnsi="Times New Roman" w:cs="Times New Roman"/>
          <w:i/>
          <w:sz w:val="24"/>
          <w:szCs w:val="24"/>
          <w:lang w:eastAsia="it-IT"/>
        </w:rPr>
        <w:t>(Cass.</w:t>
      </w:r>
      <w:r w:rsidR="0077363E">
        <w:rPr>
          <w:rFonts w:ascii="Times New Roman" w:eastAsia="Times New Roman" w:hAnsi="Times New Roman" w:cs="Times New Roman"/>
          <w:i/>
          <w:sz w:val="24"/>
          <w:szCs w:val="24"/>
          <w:lang w:eastAsia="it-IT"/>
        </w:rPr>
        <w:t xml:space="preserve"> </w:t>
      </w:r>
      <w:proofErr w:type="spellStart"/>
      <w:r w:rsidR="008F4C41" w:rsidRPr="008F4C41">
        <w:rPr>
          <w:rFonts w:ascii="Times New Roman" w:eastAsia="Times New Roman" w:hAnsi="Times New Roman" w:cs="Times New Roman"/>
          <w:i/>
          <w:sz w:val="24"/>
          <w:szCs w:val="24"/>
          <w:lang w:eastAsia="it-IT"/>
        </w:rPr>
        <w:t>nn</w:t>
      </w:r>
      <w:proofErr w:type="spellEnd"/>
      <w:r w:rsidR="008F4C41" w:rsidRPr="008F4C41">
        <w:rPr>
          <w:rFonts w:ascii="Times New Roman" w:eastAsia="Times New Roman" w:hAnsi="Times New Roman" w:cs="Times New Roman"/>
          <w:i/>
          <w:sz w:val="24"/>
          <w:szCs w:val="24"/>
          <w:lang w:eastAsia="it-IT"/>
        </w:rPr>
        <w:t>.</w:t>
      </w:r>
      <w:r w:rsidR="0077363E">
        <w:rPr>
          <w:rFonts w:ascii="Times New Roman" w:eastAsia="Times New Roman" w:hAnsi="Times New Roman" w:cs="Times New Roman"/>
          <w:i/>
          <w:sz w:val="24"/>
          <w:szCs w:val="24"/>
          <w:lang w:eastAsia="it-IT"/>
        </w:rPr>
        <w:t xml:space="preserve"> </w:t>
      </w:r>
      <w:r w:rsidR="008F4C41" w:rsidRPr="008F4C41">
        <w:rPr>
          <w:rFonts w:ascii="Times New Roman" w:eastAsia="Times New Roman" w:hAnsi="Times New Roman" w:cs="Times New Roman"/>
          <w:i/>
          <w:sz w:val="24"/>
          <w:szCs w:val="24"/>
          <w:lang w:eastAsia="it-IT"/>
        </w:rPr>
        <w:t>7318 e 21773 del 2014)”</w:t>
      </w:r>
      <w:r w:rsidR="008F4C41">
        <w:rPr>
          <w:rFonts w:ascii="Times New Roman" w:eastAsia="Times New Roman" w:hAnsi="Times New Roman" w:cs="Times New Roman"/>
          <w:i/>
          <w:sz w:val="24"/>
          <w:szCs w:val="24"/>
          <w:lang w:eastAsia="it-IT"/>
        </w:rPr>
        <w:t>.</w:t>
      </w:r>
    </w:p>
    <w:p w:rsidR="008F4C41" w:rsidRDefault="008F4C41"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Ciò è accaduto con la successione di </w:t>
      </w:r>
      <w:proofErr w:type="spellStart"/>
      <w:r>
        <w:rPr>
          <w:rFonts w:ascii="Times New Roman" w:eastAsia="Times New Roman" w:hAnsi="Times New Roman" w:cs="Times New Roman"/>
          <w:sz w:val="24"/>
          <w:szCs w:val="24"/>
          <w:lang w:eastAsia="it-IT"/>
        </w:rPr>
        <w:t>AdER</w:t>
      </w:r>
      <w:proofErr w:type="spellEnd"/>
      <w:r>
        <w:rPr>
          <w:rFonts w:ascii="Times New Roman" w:eastAsia="Times New Roman" w:hAnsi="Times New Roman" w:cs="Times New Roman"/>
          <w:sz w:val="24"/>
          <w:szCs w:val="24"/>
          <w:lang w:eastAsia="it-IT"/>
        </w:rPr>
        <w:t xml:space="preserve"> e</w:t>
      </w:r>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precedentemente</w:t>
      </w:r>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con il trasferimento delle funzioni dal Ministero dell</w:t>
      </w:r>
      <w:r w:rsidR="0077363E">
        <w:rPr>
          <w:rFonts w:ascii="Times New Roman" w:eastAsia="Times New Roman" w:hAnsi="Times New Roman" w:cs="Times New Roman"/>
          <w:sz w:val="24"/>
          <w:szCs w:val="24"/>
          <w:lang w:eastAsia="it-IT"/>
        </w:rPr>
        <w:t>e Finanze alle agenzie fiscali (</w:t>
      </w:r>
      <w:r>
        <w:rPr>
          <w:rFonts w:ascii="Times New Roman" w:eastAsia="Times New Roman" w:hAnsi="Times New Roman" w:cs="Times New Roman"/>
          <w:sz w:val="24"/>
          <w:szCs w:val="24"/>
          <w:lang w:eastAsia="it-IT"/>
        </w:rPr>
        <w:t xml:space="preserve">art. 57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n.</w:t>
      </w:r>
      <w:r w:rsidR="0077363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300/99) e delle </w:t>
      </w:r>
      <w:proofErr w:type="spellStart"/>
      <w:r>
        <w:rPr>
          <w:rFonts w:ascii="Times New Roman" w:eastAsia="Times New Roman" w:hAnsi="Times New Roman" w:cs="Times New Roman"/>
          <w:sz w:val="24"/>
          <w:szCs w:val="24"/>
          <w:lang w:eastAsia="it-IT"/>
        </w:rPr>
        <w:t>preeesistenti</w:t>
      </w:r>
      <w:proofErr w:type="spellEnd"/>
      <w:r>
        <w:rPr>
          <w:rFonts w:ascii="Times New Roman" w:eastAsia="Times New Roman" w:hAnsi="Times New Roman" w:cs="Times New Roman"/>
          <w:sz w:val="24"/>
          <w:szCs w:val="24"/>
          <w:lang w:eastAsia="it-IT"/>
        </w:rPr>
        <w:t xml:space="preserve"> conces</w:t>
      </w:r>
      <w:r w:rsidR="00DD357C">
        <w:rPr>
          <w:rFonts w:ascii="Times New Roman" w:eastAsia="Times New Roman" w:hAnsi="Times New Roman" w:cs="Times New Roman"/>
          <w:sz w:val="24"/>
          <w:szCs w:val="24"/>
          <w:lang w:eastAsia="it-IT"/>
        </w:rPr>
        <w:t>sio</w:t>
      </w:r>
      <w:r w:rsidR="00744AEB">
        <w:rPr>
          <w:rFonts w:ascii="Times New Roman" w:eastAsia="Times New Roman" w:hAnsi="Times New Roman" w:cs="Times New Roman"/>
          <w:sz w:val="24"/>
          <w:szCs w:val="24"/>
          <w:lang w:eastAsia="it-IT"/>
        </w:rPr>
        <w:t>narie per la riscossione alla stessa Equitalia Spa ex art.</w:t>
      </w:r>
      <w:r w:rsidR="0077363E">
        <w:rPr>
          <w:rFonts w:ascii="Times New Roman" w:eastAsia="Times New Roman" w:hAnsi="Times New Roman" w:cs="Times New Roman"/>
          <w:sz w:val="24"/>
          <w:szCs w:val="24"/>
          <w:lang w:eastAsia="it-IT"/>
        </w:rPr>
        <w:t xml:space="preserve"> </w:t>
      </w:r>
      <w:r w:rsidR="00744AEB">
        <w:rPr>
          <w:rFonts w:ascii="Times New Roman" w:eastAsia="Times New Roman" w:hAnsi="Times New Roman" w:cs="Times New Roman"/>
          <w:sz w:val="24"/>
          <w:szCs w:val="24"/>
          <w:lang w:eastAsia="it-IT"/>
        </w:rPr>
        <w:t>3 d.l.</w:t>
      </w:r>
      <w:r w:rsidR="0077363E">
        <w:rPr>
          <w:rFonts w:ascii="Times New Roman" w:eastAsia="Times New Roman" w:hAnsi="Times New Roman" w:cs="Times New Roman"/>
          <w:sz w:val="24"/>
          <w:szCs w:val="24"/>
          <w:lang w:eastAsia="it-IT"/>
        </w:rPr>
        <w:t xml:space="preserve"> </w:t>
      </w:r>
      <w:r w:rsidR="00744AEB">
        <w:rPr>
          <w:rFonts w:ascii="Times New Roman" w:eastAsia="Times New Roman" w:hAnsi="Times New Roman" w:cs="Times New Roman"/>
          <w:sz w:val="24"/>
          <w:szCs w:val="24"/>
          <w:lang w:eastAsia="it-IT"/>
        </w:rPr>
        <w:t>n.</w:t>
      </w:r>
      <w:r w:rsidR="0077363E">
        <w:rPr>
          <w:rFonts w:ascii="Times New Roman" w:eastAsia="Times New Roman" w:hAnsi="Times New Roman" w:cs="Times New Roman"/>
          <w:sz w:val="24"/>
          <w:szCs w:val="24"/>
          <w:lang w:eastAsia="it-IT"/>
        </w:rPr>
        <w:t xml:space="preserve"> </w:t>
      </w:r>
      <w:r w:rsidR="00744AEB">
        <w:rPr>
          <w:rFonts w:ascii="Times New Roman" w:eastAsia="Times New Roman" w:hAnsi="Times New Roman" w:cs="Times New Roman"/>
          <w:sz w:val="24"/>
          <w:szCs w:val="24"/>
          <w:lang w:eastAsia="it-IT"/>
        </w:rPr>
        <w:t xml:space="preserve">203/2005 </w:t>
      </w:r>
      <w:proofErr w:type="spellStart"/>
      <w:r w:rsidR="00744AEB">
        <w:rPr>
          <w:rFonts w:ascii="Times New Roman" w:eastAsia="Times New Roman" w:hAnsi="Times New Roman" w:cs="Times New Roman"/>
          <w:sz w:val="24"/>
          <w:szCs w:val="24"/>
          <w:lang w:eastAsia="it-IT"/>
        </w:rPr>
        <w:t>conv</w:t>
      </w:r>
      <w:proofErr w:type="spellEnd"/>
      <w:r w:rsidR="00744AEB">
        <w:rPr>
          <w:rFonts w:ascii="Times New Roman" w:eastAsia="Times New Roman" w:hAnsi="Times New Roman" w:cs="Times New Roman"/>
          <w:sz w:val="24"/>
          <w:szCs w:val="24"/>
          <w:lang w:eastAsia="it-IT"/>
        </w:rPr>
        <w:t>. in l.</w:t>
      </w:r>
      <w:r w:rsidR="0077363E">
        <w:rPr>
          <w:rFonts w:ascii="Times New Roman" w:eastAsia="Times New Roman" w:hAnsi="Times New Roman" w:cs="Times New Roman"/>
          <w:sz w:val="24"/>
          <w:szCs w:val="24"/>
          <w:lang w:eastAsia="it-IT"/>
        </w:rPr>
        <w:t xml:space="preserve"> </w:t>
      </w:r>
      <w:r w:rsidR="00744AEB">
        <w:rPr>
          <w:rFonts w:ascii="Times New Roman" w:eastAsia="Times New Roman" w:hAnsi="Times New Roman" w:cs="Times New Roman"/>
          <w:sz w:val="24"/>
          <w:szCs w:val="24"/>
          <w:lang w:eastAsia="it-IT"/>
        </w:rPr>
        <w:t>n.</w:t>
      </w:r>
      <w:r w:rsidR="0077363E">
        <w:rPr>
          <w:rFonts w:ascii="Times New Roman" w:eastAsia="Times New Roman" w:hAnsi="Times New Roman" w:cs="Times New Roman"/>
          <w:sz w:val="24"/>
          <w:szCs w:val="24"/>
          <w:lang w:eastAsia="it-IT"/>
        </w:rPr>
        <w:t xml:space="preserve"> </w:t>
      </w:r>
      <w:r w:rsidR="00744AEB">
        <w:rPr>
          <w:rFonts w:ascii="Times New Roman" w:eastAsia="Times New Roman" w:hAnsi="Times New Roman" w:cs="Times New Roman"/>
          <w:sz w:val="24"/>
          <w:szCs w:val="24"/>
          <w:lang w:eastAsia="it-IT"/>
        </w:rPr>
        <w:t>248/2005.</w:t>
      </w:r>
    </w:p>
    <w:p w:rsidR="00744AEB" w:rsidRDefault="00744AEB"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tal proposito</w:t>
      </w:r>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la Corte di Cassazione ha affermato che, non essendo rilevante la sopravvenuta morte della parte, coloro che intendano prendere parte al giudizio, in nome proprio o in qualità di successori, possono farlo con atto d’intervento o con ricorso, previo rilascio di un’apposita procura notarile, </w:t>
      </w:r>
      <w:r w:rsidR="00785C91">
        <w:rPr>
          <w:rFonts w:ascii="Times New Roman" w:eastAsia="Times New Roman" w:hAnsi="Times New Roman" w:cs="Times New Roman"/>
          <w:sz w:val="24"/>
          <w:szCs w:val="24"/>
          <w:lang w:eastAsia="it-IT"/>
        </w:rPr>
        <w:t>stante la perdurante valenza del mandato rilasciato dall’originario ricorrente.</w:t>
      </w:r>
    </w:p>
    <w:p w:rsidR="00785C91" w:rsidRDefault="00785C91" w:rsidP="00785C91">
      <w:pPr>
        <w:spacing w:after="0" w:line="36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it-IT"/>
        </w:rPr>
        <w:t>Inoltre, in riferimento al citato art. 1</w:t>
      </w:r>
      <w:r w:rsidRPr="00EB575F">
        <w:rPr>
          <w:rFonts w:ascii="Times New Roman" w:eastAsia="Times New Roman" w:hAnsi="Times New Roman" w:cs="Times New Roman"/>
          <w:sz w:val="24"/>
          <w:szCs w:val="24"/>
          <w:lang w:eastAsia="it-IT"/>
        </w:rPr>
        <w:t xml:space="preserve">, </w:t>
      </w:r>
      <w:r w:rsidR="0077363E" w:rsidRPr="00EB575F">
        <w:rPr>
          <w:rFonts w:ascii="Times New Roman" w:eastAsia="Times New Roman" w:hAnsi="Times New Roman" w:cs="Times New Roman"/>
          <w:sz w:val="24"/>
          <w:szCs w:val="24"/>
          <w:lang w:eastAsia="it-IT"/>
        </w:rPr>
        <w:t>il</w:t>
      </w:r>
      <w:r w:rsidR="0077363E">
        <w:rPr>
          <w:rFonts w:ascii="Times New Roman" w:eastAsia="Times New Roman" w:hAnsi="Times New Roman" w:cs="Times New Roman"/>
          <w:color w:val="0000FF"/>
          <w:sz w:val="24"/>
          <w:szCs w:val="24"/>
          <w:lang w:eastAsia="it-IT"/>
        </w:rPr>
        <w:t xml:space="preserve"> </w:t>
      </w:r>
      <w:r>
        <w:rPr>
          <w:rFonts w:ascii="Times New Roman" w:eastAsia="Times New Roman" w:hAnsi="Times New Roman" w:cs="Times New Roman"/>
          <w:sz w:val="24"/>
          <w:szCs w:val="24"/>
          <w:lang w:eastAsia="it-IT"/>
        </w:rPr>
        <w:t>comma 8, quanto alla difesa in giudizio dell’</w:t>
      </w:r>
      <w:proofErr w:type="spellStart"/>
      <w:r>
        <w:rPr>
          <w:rFonts w:ascii="Times New Roman" w:eastAsia="Times New Roman" w:hAnsi="Times New Roman" w:cs="Times New Roman"/>
          <w:sz w:val="24"/>
          <w:szCs w:val="24"/>
          <w:lang w:eastAsia="it-IT"/>
        </w:rPr>
        <w:t>AdER</w:t>
      </w:r>
      <w:proofErr w:type="spellEnd"/>
      <w:r w:rsidR="0077363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prevede: </w:t>
      </w:r>
      <w:r w:rsidR="0077363E" w:rsidRPr="0077363E">
        <w:rPr>
          <w:rFonts w:ascii="Times New Roman" w:eastAsia="Times New Roman" w:hAnsi="Times New Roman" w:cs="Times New Roman"/>
          <w:i/>
          <w:sz w:val="24"/>
          <w:szCs w:val="24"/>
          <w:lang w:eastAsia="it-IT"/>
        </w:rPr>
        <w:t>“</w:t>
      </w:r>
      <w:r w:rsidRPr="00785C91">
        <w:rPr>
          <w:rFonts w:ascii="Times New Roman" w:hAnsi="Times New Roman" w:cs="Times New Roman"/>
          <w:i/>
          <w:sz w:val="24"/>
          <w:szCs w:val="24"/>
        </w:rPr>
        <w:t>L’ente è autorizzato ad avvalersi del patrocinio dell’Avvocatura dello Stato ai sensi dell’articolo 43 del testo unico delle leggi e delle norme giuridiche sulla rappresentanza e difesa in giudizio dello Stato e sull’ordinamento dell’Avvocatura dello Stato, di cui al </w:t>
      </w:r>
      <w:hyperlink r:id="rId14" w:history="1">
        <w:r w:rsidRPr="00785C91">
          <w:rPr>
            <w:rStyle w:val="Collegamentoipertestuale"/>
            <w:rFonts w:ascii="Times New Roman" w:hAnsi="Times New Roman" w:cs="Times New Roman"/>
            <w:i/>
            <w:color w:val="auto"/>
            <w:sz w:val="24"/>
            <w:szCs w:val="24"/>
            <w:u w:val="none"/>
          </w:rPr>
          <w:t>regio decreto 30 ottobre 1933, n. 1611</w:t>
        </w:r>
      </w:hyperlink>
      <w:r w:rsidRPr="00785C91">
        <w:rPr>
          <w:rFonts w:ascii="Times New Roman" w:hAnsi="Times New Roman" w:cs="Times New Roman"/>
          <w:i/>
          <w:sz w:val="24"/>
          <w:szCs w:val="24"/>
        </w:rPr>
        <w:t>,</w:t>
      </w:r>
      <w:r w:rsidR="0077363E">
        <w:rPr>
          <w:rFonts w:ascii="Times New Roman" w:hAnsi="Times New Roman" w:cs="Times New Roman"/>
          <w:i/>
          <w:sz w:val="24"/>
          <w:szCs w:val="24"/>
        </w:rPr>
        <w:t xml:space="preserve"> </w:t>
      </w:r>
      <w:r w:rsidRPr="00785C91">
        <w:rPr>
          <w:rFonts w:ascii="Times New Roman" w:hAnsi="Times New Roman" w:cs="Times New Roman"/>
          <w:i/>
          <w:sz w:val="24"/>
          <w:szCs w:val="24"/>
        </w:rPr>
        <w:t xml:space="preserve"> fatte salve le ipotesi di conflitto e comunque su base convenzionale…”</w:t>
      </w:r>
    </w:p>
    <w:p w:rsidR="00785C91" w:rsidRDefault="00785C91" w:rsidP="00F74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Inoltre, il legislatore ha previsto</w:t>
      </w:r>
      <w:r w:rsidR="0077363E">
        <w:rPr>
          <w:rFonts w:ascii="Times New Roman" w:hAnsi="Times New Roman" w:cs="Times New Roman"/>
          <w:sz w:val="24"/>
          <w:szCs w:val="24"/>
        </w:rPr>
        <w:t>,</w:t>
      </w:r>
      <w:r>
        <w:rPr>
          <w:rFonts w:ascii="Times New Roman" w:hAnsi="Times New Roman" w:cs="Times New Roman"/>
          <w:sz w:val="24"/>
          <w:szCs w:val="24"/>
        </w:rPr>
        <w:t xml:space="preserve"> nel citato comma, che l’</w:t>
      </w:r>
      <w:proofErr w:type="spellStart"/>
      <w:r>
        <w:rPr>
          <w:rFonts w:ascii="Times New Roman" w:hAnsi="Times New Roman" w:cs="Times New Roman"/>
          <w:sz w:val="24"/>
          <w:szCs w:val="24"/>
        </w:rPr>
        <w:t>AdER</w:t>
      </w:r>
      <w:proofErr w:type="spellEnd"/>
      <w:r>
        <w:rPr>
          <w:rFonts w:ascii="Times New Roman" w:hAnsi="Times New Roman" w:cs="Times New Roman"/>
          <w:sz w:val="24"/>
          <w:szCs w:val="24"/>
        </w:rPr>
        <w:t xml:space="preserve"> possa avvalersi di avvocati del libero foro </w:t>
      </w:r>
      <w:r w:rsidRPr="00785C91">
        <w:rPr>
          <w:rFonts w:ascii="Times New Roman" w:hAnsi="Times New Roman" w:cs="Times New Roman"/>
          <w:i/>
          <w:sz w:val="24"/>
          <w:szCs w:val="24"/>
        </w:rPr>
        <w:t>“…</w:t>
      </w:r>
      <w:r w:rsidR="0077363E">
        <w:rPr>
          <w:rFonts w:ascii="Times New Roman" w:hAnsi="Times New Roman" w:cs="Times New Roman"/>
          <w:i/>
          <w:sz w:val="24"/>
          <w:szCs w:val="24"/>
        </w:rPr>
        <w:t xml:space="preserve"> </w:t>
      </w:r>
      <w:r w:rsidRPr="00785C91">
        <w:rPr>
          <w:rFonts w:ascii="Times New Roman" w:hAnsi="Times New Roman" w:cs="Times New Roman"/>
          <w:i/>
          <w:color w:val="000000"/>
          <w:sz w:val="24"/>
          <w:szCs w:val="24"/>
        </w:rPr>
        <w:t>sulla base di specifici criteri definiti negli atti di carattere generale deliberati ai sensi del comma 5 del presente articolo</w:t>
      </w:r>
      <w:r>
        <w:rPr>
          <w:rFonts w:ascii="Times New Roman" w:hAnsi="Times New Roman" w:cs="Times New Roman"/>
          <w:color w:val="000000"/>
          <w:sz w:val="24"/>
          <w:szCs w:val="24"/>
        </w:rPr>
        <w:t xml:space="preserve">” e secondo i parametri selettivi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n.</w:t>
      </w:r>
      <w:r w:rsidR="007736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50/2016</w:t>
      </w:r>
      <w:r w:rsidR="0077363E">
        <w:rPr>
          <w:rFonts w:ascii="Times New Roman" w:hAnsi="Times New Roman" w:cs="Times New Roman"/>
          <w:color w:val="000000"/>
          <w:sz w:val="24"/>
          <w:szCs w:val="24"/>
        </w:rPr>
        <w:t xml:space="preserve"> (Codice dei Contratti P</w:t>
      </w:r>
      <w:r>
        <w:rPr>
          <w:rFonts w:ascii="Times New Roman" w:hAnsi="Times New Roman" w:cs="Times New Roman"/>
          <w:color w:val="000000"/>
          <w:sz w:val="24"/>
          <w:szCs w:val="24"/>
        </w:rPr>
        <w:t>ubblici)</w:t>
      </w:r>
      <w:r w:rsidR="0077363E">
        <w:rPr>
          <w:rFonts w:ascii="Times New Roman" w:hAnsi="Times New Roman" w:cs="Times New Roman"/>
          <w:color w:val="000000"/>
          <w:sz w:val="24"/>
          <w:szCs w:val="24"/>
        </w:rPr>
        <w:t xml:space="preserve">, </w:t>
      </w:r>
      <w:r w:rsidR="00F74959">
        <w:rPr>
          <w:rFonts w:ascii="Times New Roman" w:hAnsi="Times New Roman" w:cs="Times New Roman"/>
          <w:color w:val="000000"/>
          <w:sz w:val="24"/>
          <w:szCs w:val="24"/>
        </w:rPr>
        <w:t xml:space="preserve">stabilendo che l’ente possa </w:t>
      </w:r>
      <w:r w:rsidR="00F74959" w:rsidRPr="00A24B26">
        <w:rPr>
          <w:rFonts w:ascii="Times New Roman" w:hAnsi="Times New Roman" w:cs="Times New Roman"/>
          <w:i/>
          <w:sz w:val="24"/>
          <w:szCs w:val="24"/>
        </w:rPr>
        <w:t>“</w:t>
      </w:r>
      <w:r w:rsidR="0077363E">
        <w:rPr>
          <w:rFonts w:ascii="Times New Roman" w:hAnsi="Times New Roman" w:cs="Times New Roman"/>
          <w:i/>
          <w:sz w:val="24"/>
          <w:szCs w:val="24"/>
        </w:rPr>
        <w:t>.</w:t>
      </w:r>
      <w:r w:rsidR="00F74959" w:rsidRPr="00A24B26">
        <w:rPr>
          <w:rFonts w:ascii="Times New Roman" w:hAnsi="Times New Roman" w:cs="Times New Roman"/>
          <w:i/>
          <w:sz w:val="24"/>
          <w:szCs w:val="24"/>
        </w:rPr>
        <w:t>..</w:t>
      </w:r>
      <w:r w:rsidR="0077363E">
        <w:rPr>
          <w:rFonts w:ascii="Times New Roman" w:hAnsi="Times New Roman" w:cs="Times New Roman"/>
          <w:i/>
          <w:sz w:val="24"/>
          <w:szCs w:val="24"/>
        </w:rPr>
        <w:t xml:space="preserve"> </w:t>
      </w:r>
      <w:r w:rsidRPr="00A24B26">
        <w:rPr>
          <w:rFonts w:ascii="Times New Roman" w:hAnsi="Times New Roman" w:cs="Times New Roman"/>
          <w:i/>
          <w:sz w:val="24"/>
          <w:szCs w:val="24"/>
        </w:rPr>
        <w:t>avvalersi ed essere rappresentato, davanti al tribunale e al giudice di pace, da propri dipendenti delegati, che possono stare in giudizio personalmente; in ogni caso, ove vengano in rilievo questioni di massima o aventi notevoli riflessi economici, l’Avvocatura dello Stato, sentito l’ente, può assumere direttamente la trattazione della causa. Per il patrocinio davanti alle commissioni tributarie continua ad applicarsi l’articolo </w:t>
      </w:r>
      <w:hyperlink r:id="rId15" w:history="1">
        <w:r w:rsidRPr="00A24B26">
          <w:rPr>
            <w:rStyle w:val="Collegamentoipertestuale"/>
            <w:rFonts w:ascii="Times New Roman" w:hAnsi="Times New Roman" w:cs="Times New Roman"/>
            <w:i/>
            <w:color w:val="auto"/>
            <w:sz w:val="24"/>
            <w:szCs w:val="24"/>
            <w:u w:val="none"/>
          </w:rPr>
          <w:t>11, comma 2, del decreto legislativo 31 dicembre 1992, n. 546</w:t>
        </w:r>
      </w:hyperlink>
      <w:r w:rsidR="00F74959" w:rsidRPr="00A24B26">
        <w:rPr>
          <w:rFonts w:ascii="Times New Roman" w:hAnsi="Times New Roman" w:cs="Times New Roman"/>
          <w:i/>
          <w:sz w:val="24"/>
          <w:szCs w:val="24"/>
        </w:rPr>
        <w:t>”</w:t>
      </w:r>
      <w:r w:rsidR="00F74959" w:rsidRPr="00F74959">
        <w:rPr>
          <w:rFonts w:ascii="Times New Roman" w:hAnsi="Times New Roman" w:cs="Times New Roman"/>
          <w:sz w:val="24"/>
          <w:szCs w:val="24"/>
        </w:rPr>
        <w:t>.</w:t>
      </w:r>
    </w:p>
    <w:p w:rsidR="00A24B26" w:rsidRDefault="0077363E" w:rsidP="00F74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Sul punto, la Suprema Corte</w:t>
      </w:r>
      <w:r w:rsidR="00A24B26">
        <w:rPr>
          <w:rFonts w:ascii="Times New Roman" w:hAnsi="Times New Roman" w:cs="Times New Roman"/>
          <w:sz w:val="24"/>
          <w:szCs w:val="24"/>
        </w:rPr>
        <w:t xml:space="preserve"> ha sottolineato che l’Avvocatura di Stato, in aggiunta al patrocinio obbligatorio in favore delle Amministrazioni dello Stato, può essere autorizzata ad assumere la rappresentanza e la difesa anche di Amministrazioni pubbliche non statali e di enti pubblici </w:t>
      </w:r>
      <w:r w:rsidR="00A24B26">
        <w:rPr>
          <w:rFonts w:ascii="Times New Roman" w:hAnsi="Times New Roman" w:cs="Times New Roman"/>
          <w:sz w:val="24"/>
          <w:szCs w:val="24"/>
        </w:rPr>
        <w:lastRenderedPageBreak/>
        <w:t xml:space="preserve">sovvenzionati, sottoposti a tutela o a sola vigilanza dello Stato; la condizione necessaria e sufficiente </w:t>
      </w:r>
      <w:r w:rsidR="00186A0B">
        <w:rPr>
          <w:rFonts w:ascii="Times New Roman" w:hAnsi="Times New Roman" w:cs="Times New Roman"/>
          <w:sz w:val="24"/>
          <w:szCs w:val="24"/>
        </w:rPr>
        <w:t xml:space="preserve"> per l’esercizio di predetto patrocinio è l’esistenza di un provvedimento di autorizzazione che, in base a quanto disposto dall’art. 43 citato, può essere costituito da una “disposizione di legge, di regolamento o di altro provvedimento approvato con regio decreto”, i quali devono essere “promossi di concerto” con i M</w:t>
      </w:r>
      <w:r w:rsidR="0020633B">
        <w:rPr>
          <w:rFonts w:ascii="Times New Roman" w:hAnsi="Times New Roman" w:cs="Times New Roman"/>
          <w:sz w:val="24"/>
          <w:szCs w:val="24"/>
        </w:rPr>
        <w:t>inistri della Giustizia e dell’E</w:t>
      </w:r>
      <w:r w:rsidR="00186A0B">
        <w:rPr>
          <w:rFonts w:ascii="Times New Roman" w:hAnsi="Times New Roman" w:cs="Times New Roman"/>
          <w:sz w:val="24"/>
          <w:szCs w:val="24"/>
        </w:rPr>
        <w:t>conomia e delle Finanze.</w:t>
      </w:r>
    </w:p>
    <w:p w:rsidR="00186A0B" w:rsidRDefault="00186A0B" w:rsidP="00F74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caso di predetto provvedimento di autorizzazione, la rappresentanza e la difesa in giudizio sono assunte dall’Avvocatura “in via organica ed esclusiva”</w:t>
      </w:r>
      <w:r w:rsidR="0020633B">
        <w:rPr>
          <w:rFonts w:ascii="Times New Roman" w:hAnsi="Times New Roman" w:cs="Times New Roman"/>
          <w:sz w:val="24"/>
          <w:szCs w:val="24"/>
        </w:rPr>
        <w:t xml:space="preserve"> </w:t>
      </w:r>
      <w:r>
        <w:rPr>
          <w:rFonts w:ascii="Times New Roman" w:hAnsi="Times New Roman" w:cs="Times New Roman"/>
          <w:sz w:val="24"/>
          <w:szCs w:val="24"/>
        </w:rPr>
        <w:t xml:space="preserve">(art. 43 del T.U, così come modificato dall’art. 11 </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w:t>
      </w:r>
      <w:r w:rsidR="0020633B">
        <w:rPr>
          <w:rFonts w:ascii="Times New Roman" w:hAnsi="Times New Roman" w:cs="Times New Roman"/>
          <w:sz w:val="24"/>
          <w:szCs w:val="24"/>
        </w:rPr>
        <w:t xml:space="preserve"> </w:t>
      </w:r>
      <w:r>
        <w:rPr>
          <w:rFonts w:ascii="Times New Roman" w:hAnsi="Times New Roman" w:cs="Times New Roman"/>
          <w:sz w:val="24"/>
          <w:szCs w:val="24"/>
        </w:rPr>
        <w:t>103/1979)</w:t>
      </w:r>
      <w:r w:rsidR="0020633B">
        <w:rPr>
          <w:rFonts w:ascii="Times New Roman" w:hAnsi="Times New Roman" w:cs="Times New Roman"/>
          <w:sz w:val="24"/>
          <w:szCs w:val="24"/>
        </w:rPr>
        <w:t>;</w:t>
      </w:r>
      <w:r>
        <w:rPr>
          <w:rFonts w:ascii="Times New Roman" w:hAnsi="Times New Roman" w:cs="Times New Roman"/>
          <w:sz w:val="24"/>
          <w:szCs w:val="24"/>
        </w:rPr>
        <w:t xml:space="preserve"> pertanto</w:t>
      </w:r>
      <w:r w:rsidR="0020633B">
        <w:rPr>
          <w:rFonts w:ascii="Times New Roman" w:hAnsi="Times New Roman" w:cs="Times New Roman"/>
          <w:sz w:val="24"/>
          <w:szCs w:val="24"/>
        </w:rPr>
        <w:t>,</w:t>
      </w:r>
      <w:r>
        <w:rPr>
          <w:rFonts w:ascii="Times New Roman" w:hAnsi="Times New Roman" w:cs="Times New Roman"/>
          <w:sz w:val="24"/>
          <w:szCs w:val="24"/>
        </w:rPr>
        <w:t xml:space="preserve"> si applicano le medesime regole del patrocinio obbligatorio, salva l’ipotesi di un conflitt</w:t>
      </w:r>
      <w:r w:rsidR="008D3989">
        <w:rPr>
          <w:rFonts w:ascii="Times New Roman" w:hAnsi="Times New Roman" w:cs="Times New Roman"/>
          <w:sz w:val="24"/>
          <w:szCs w:val="24"/>
        </w:rPr>
        <w:t>o con lo Stato o con le Regioni.</w:t>
      </w:r>
    </w:p>
    <w:p w:rsidR="008D3989" w:rsidRPr="00F74959" w:rsidRDefault="008D3989" w:rsidP="00F749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0633B">
        <w:rPr>
          <w:rFonts w:ascii="Times New Roman" w:hAnsi="Times New Roman" w:cs="Times New Roman"/>
          <w:sz w:val="24"/>
          <w:szCs w:val="24"/>
        </w:rPr>
        <w:t>d</w:t>
      </w:r>
      <w:r>
        <w:rPr>
          <w:rFonts w:ascii="Times New Roman" w:hAnsi="Times New Roman" w:cs="Times New Roman"/>
          <w:sz w:val="24"/>
          <w:szCs w:val="24"/>
        </w:rPr>
        <w:t xml:space="preserve"> eccezione della predetta ipotesi di conflitto d’interessi, le Amministrazioni e gli enti suindicati possono decidere di non avvalersi dell’Avvocatura dello Stato soltanto in </w:t>
      </w:r>
      <w:r w:rsidRPr="008D3989">
        <w:rPr>
          <w:rFonts w:ascii="Times New Roman" w:hAnsi="Times New Roman" w:cs="Times New Roman"/>
          <w:i/>
          <w:sz w:val="24"/>
          <w:szCs w:val="24"/>
        </w:rPr>
        <w:t>“casi speciali”</w:t>
      </w:r>
      <w:r>
        <w:rPr>
          <w:rFonts w:ascii="Times New Roman" w:hAnsi="Times New Roman" w:cs="Times New Roman"/>
          <w:sz w:val="24"/>
          <w:szCs w:val="24"/>
        </w:rPr>
        <w:t xml:space="preserve"> e previa adozione di “</w:t>
      </w:r>
      <w:r w:rsidRPr="008D3989">
        <w:rPr>
          <w:rFonts w:ascii="Times New Roman" w:hAnsi="Times New Roman" w:cs="Times New Roman"/>
          <w:i/>
          <w:sz w:val="24"/>
          <w:szCs w:val="24"/>
        </w:rPr>
        <w:t>apposita motivata delibera da sottoporre agli organi di vigilanza”</w:t>
      </w:r>
      <w:r>
        <w:rPr>
          <w:rFonts w:ascii="Times New Roman" w:hAnsi="Times New Roman" w:cs="Times New Roman"/>
          <w:sz w:val="24"/>
          <w:szCs w:val="24"/>
        </w:rPr>
        <w:t>.</w:t>
      </w:r>
    </w:p>
    <w:p w:rsidR="00AB7275" w:rsidRDefault="0020633B"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Quindi,</w:t>
      </w:r>
      <w:r w:rsidR="00A7025F">
        <w:rPr>
          <w:rFonts w:ascii="Times New Roman" w:eastAsia="Times New Roman" w:hAnsi="Times New Roman" w:cs="Times New Roman"/>
          <w:sz w:val="24"/>
          <w:szCs w:val="24"/>
          <w:lang w:eastAsia="it-IT"/>
        </w:rPr>
        <w:t xml:space="preserve"> la citata recente normativa</w:t>
      </w:r>
      <w:r>
        <w:rPr>
          <w:rFonts w:ascii="Times New Roman" w:eastAsia="Times New Roman" w:hAnsi="Times New Roman" w:cs="Times New Roman"/>
          <w:sz w:val="24"/>
          <w:szCs w:val="24"/>
          <w:lang w:eastAsia="it-IT"/>
        </w:rPr>
        <w:t xml:space="preserve"> </w:t>
      </w:r>
      <w:r w:rsidR="00A7025F">
        <w:rPr>
          <w:rFonts w:ascii="Times New Roman" w:eastAsia="Times New Roman" w:hAnsi="Times New Roman" w:cs="Times New Roman"/>
          <w:sz w:val="24"/>
          <w:szCs w:val="24"/>
          <w:lang w:eastAsia="it-IT"/>
        </w:rPr>
        <w:t xml:space="preserve">(art. 1, al comma 8 </w:t>
      </w:r>
      <w:r>
        <w:rPr>
          <w:rFonts w:ascii="Times New Roman" w:eastAsia="Times New Roman" w:hAnsi="Times New Roman" w:cs="Times New Roman"/>
          <w:sz w:val="24"/>
          <w:szCs w:val="24"/>
          <w:lang w:eastAsia="it-IT"/>
        </w:rPr>
        <w:t xml:space="preserve">del </w:t>
      </w:r>
      <w:r w:rsidR="00A7025F">
        <w:rPr>
          <w:rFonts w:ascii="Times New Roman" w:eastAsia="Times New Roman" w:hAnsi="Times New Roman" w:cs="Times New Roman"/>
          <w:sz w:val="24"/>
          <w:szCs w:val="24"/>
          <w:lang w:eastAsia="it-IT"/>
        </w:rPr>
        <w:t>D.L. n.</w:t>
      </w:r>
      <w:r>
        <w:rPr>
          <w:rFonts w:ascii="Times New Roman" w:eastAsia="Times New Roman" w:hAnsi="Times New Roman" w:cs="Times New Roman"/>
          <w:sz w:val="24"/>
          <w:szCs w:val="24"/>
          <w:lang w:eastAsia="it-IT"/>
        </w:rPr>
        <w:t xml:space="preserve"> </w:t>
      </w:r>
      <w:r w:rsidR="00A7025F">
        <w:rPr>
          <w:rFonts w:ascii="Times New Roman" w:eastAsia="Times New Roman" w:hAnsi="Times New Roman" w:cs="Times New Roman"/>
          <w:sz w:val="24"/>
          <w:szCs w:val="24"/>
          <w:lang w:eastAsia="it-IT"/>
        </w:rPr>
        <w:t xml:space="preserve">193/2016), in accordo con l’art. 43 </w:t>
      </w:r>
      <w:proofErr w:type="spellStart"/>
      <w:r w:rsidR="00A7025F">
        <w:rPr>
          <w:rFonts w:ascii="Times New Roman" w:eastAsia="Times New Roman" w:hAnsi="Times New Roman" w:cs="Times New Roman"/>
          <w:sz w:val="24"/>
          <w:szCs w:val="24"/>
          <w:lang w:eastAsia="it-IT"/>
        </w:rPr>
        <w:t>R.D.</w:t>
      </w:r>
      <w:r w:rsidR="007B00DB">
        <w:rPr>
          <w:rFonts w:ascii="Times New Roman" w:eastAsia="Times New Roman" w:hAnsi="Times New Roman" w:cs="Times New Roman"/>
          <w:sz w:val="24"/>
          <w:szCs w:val="24"/>
          <w:lang w:eastAsia="it-IT"/>
        </w:rPr>
        <w:t>citato</w:t>
      </w:r>
      <w:proofErr w:type="spellEnd"/>
      <w:r w:rsidR="00A7025F">
        <w:rPr>
          <w:rFonts w:ascii="Times New Roman" w:eastAsia="Times New Roman" w:hAnsi="Times New Roman" w:cs="Times New Roman"/>
          <w:sz w:val="24"/>
          <w:szCs w:val="24"/>
          <w:lang w:eastAsia="it-IT"/>
        </w:rPr>
        <w:t xml:space="preserve"> espressamente dalla stessa richiamato, secondo cui “</w:t>
      </w:r>
      <w:r w:rsidR="00A7025F" w:rsidRPr="00A7025F">
        <w:rPr>
          <w:rFonts w:ascii="Times New Roman" w:eastAsia="Times New Roman" w:hAnsi="Times New Roman" w:cs="Times New Roman"/>
          <w:i/>
          <w:sz w:val="24"/>
          <w:szCs w:val="24"/>
          <w:lang w:eastAsia="it-IT"/>
        </w:rPr>
        <w:t>L'Avvocatura dello Stato può assumere la rappresentanza e la difesa nei giudizi attivi e passivi avanti le Autorità giudiziarie, i Collegi arbitrali, le giurisdizioni amministrative e speciali, di amministrazioni pubbliche non statali ed enti sovvenzionati, sottoposti a tutela od anche a sola vigilanza dello Stato, sempre che sia autorizzata da disposizione di legge, di regolamento o di altro provvedimento approvato con regio decreto</w:t>
      </w:r>
      <w:r w:rsidR="00A7025F">
        <w:rPr>
          <w:rFonts w:ascii="Times New Roman" w:eastAsia="Times New Roman" w:hAnsi="Times New Roman" w:cs="Times New Roman"/>
          <w:i/>
          <w:sz w:val="24"/>
          <w:szCs w:val="24"/>
          <w:lang w:eastAsia="it-IT"/>
        </w:rPr>
        <w:t>”,</w:t>
      </w:r>
      <w:r>
        <w:rPr>
          <w:rFonts w:ascii="Times New Roman" w:eastAsia="Times New Roman" w:hAnsi="Times New Roman" w:cs="Times New Roman"/>
          <w:i/>
          <w:sz w:val="24"/>
          <w:szCs w:val="24"/>
          <w:lang w:eastAsia="it-IT"/>
        </w:rPr>
        <w:t xml:space="preserve"> </w:t>
      </w:r>
      <w:r w:rsidR="00A7025F">
        <w:rPr>
          <w:rFonts w:ascii="Times New Roman" w:eastAsia="Times New Roman" w:hAnsi="Times New Roman" w:cs="Times New Roman"/>
          <w:sz w:val="24"/>
          <w:szCs w:val="24"/>
          <w:lang w:eastAsia="it-IT"/>
        </w:rPr>
        <w:t>introduce il patrocinio autorizzato</w:t>
      </w:r>
      <w:r w:rsidR="00AB7275">
        <w:rPr>
          <w:rFonts w:ascii="Times New Roman" w:eastAsia="Times New Roman" w:hAnsi="Times New Roman" w:cs="Times New Roman"/>
          <w:sz w:val="24"/>
          <w:szCs w:val="24"/>
          <w:lang w:eastAsia="it-IT"/>
        </w:rPr>
        <w:t xml:space="preserve"> ai fini della rappresentanza in giudizio dell’Avvocatura con i limitati effetti di tale forma di rappresentanza, ossia l’esclusione della necessità di mandato e, salvi i casi di conflitto, la facoltà di avvalersi di avvocati di libero foro, e non dell’Avvocatura dello Stato, solo in casi eccezionali</w:t>
      </w:r>
      <w:r>
        <w:rPr>
          <w:rFonts w:ascii="Times New Roman" w:eastAsia="Times New Roman" w:hAnsi="Times New Roman" w:cs="Times New Roman"/>
          <w:sz w:val="24"/>
          <w:szCs w:val="24"/>
          <w:lang w:eastAsia="it-IT"/>
        </w:rPr>
        <w:t>,</w:t>
      </w:r>
      <w:r w:rsidR="00AB7275">
        <w:rPr>
          <w:rFonts w:ascii="Times New Roman" w:eastAsia="Times New Roman" w:hAnsi="Times New Roman" w:cs="Times New Roman"/>
          <w:sz w:val="24"/>
          <w:szCs w:val="24"/>
          <w:lang w:eastAsia="it-IT"/>
        </w:rPr>
        <w:t xml:space="preserve"> previa delibera dell’organo di </w:t>
      </w:r>
      <w:r w:rsidR="00E337F3">
        <w:rPr>
          <w:rFonts w:ascii="Times New Roman" w:eastAsia="Times New Roman" w:hAnsi="Times New Roman" w:cs="Times New Roman"/>
          <w:sz w:val="24"/>
          <w:szCs w:val="24"/>
          <w:lang w:eastAsia="it-IT"/>
        </w:rPr>
        <w:t>vigilanza;</w:t>
      </w:r>
      <w:r>
        <w:rPr>
          <w:rFonts w:ascii="Times New Roman" w:eastAsia="Times New Roman" w:hAnsi="Times New Roman" w:cs="Times New Roman"/>
          <w:sz w:val="24"/>
          <w:szCs w:val="24"/>
          <w:lang w:eastAsia="it-IT"/>
        </w:rPr>
        <w:t xml:space="preserve"> </w:t>
      </w:r>
      <w:r w:rsidR="00E337F3">
        <w:rPr>
          <w:rFonts w:ascii="Times New Roman" w:eastAsia="Times New Roman" w:hAnsi="Times New Roman" w:cs="Times New Roman"/>
          <w:sz w:val="24"/>
          <w:szCs w:val="24"/>
          <w:lang w:eastAsia="it-IT"/>
        </w:rPr>
        <w:t>tale possibilità, nel caso di specie,</w:t>
      </w:r>
      <w:r>
        <w:rPr>
          <w:rFonts w:ascii="Times New Roman" w:eastAsia="Times New Roman" w:hAnsi="Times New Roman" w:cs="Times New Roman"/>
          <w:sz w:val="24"/>
          <w:szCs w:val="24"/>
          <w:lang w:eastAsia="it-IT"/>
        </w:rPr>
        <w:t xml:space="preserve"> </w:t>
      </w:r>
      <w:r w:rsidR="00E337F3">
        <w:rPr>
          <w:rFonts w:ascii="Times New Roman" w:eastAsia="Times New Roman" w:hAnsi="Times New Roman" w:cs="Times New Roman"/>
          <w:sz w:val="24"/>
          <w:szCs w:val="24"/>
          <w:lang w:eastAsia="it-IT"/>
        </w:rPr>
        <w:t>è giustificata dal fatto</w:t>
      </w:r>
      <w:r>
        <w:rPr>
          <w:rFonts w:ascii="Times New Roman" w:eastAsia="Times New Roman" w:hAnsi="Times New Roman" w:cs="Times New Roman"/>
          <w:sz w:val="24"/>
          <w:szCs w:val="24"/>
          <w:lang w:eastAsia="it-IT"/>
        </w:rPr>
        <w:t xml:space="preserve"> che il nuovo ente (</w:t>
      </w:r>
      <w:proofErr w:type="spellStart"/>
      <w:r>
        <w:rPr>
          <w:rFonts w:ascii="Times New Roman" w:eastAsia="Times New Roman" w:hAnsi="Times New Roman" w:cs="Times New Roman"/>
          <w:sz w:val="24"/>
          <w:szCs w:val="24"/>
          <w:lang w:eastAsia="it-IT"/>
        </w:rPr>
        <w:t>AdER</w:t>
      </w:r>
      <w:proofErr w:type="spellEnd"/>
      <w:r>
        <w:rPr>
          <w:rFonts w:ascii="Times New Roman" w:eastAsia="Times New Roman" w:hAnsi="Times New Roman" w:cs="Times New Roman"/>
          <w:sz w:val="24"/>
          <w:szCs w:val="24"/>
          <w:lang w:eastAsia="it-IT"/>
        </w:rPr>
        <w:t>)</w:t>
      </w:r>
      <w:r w:rsidR="00E337F3">
        <w:rPr>
          <w:rFonts w:ascii="Times New Roman" w:eastAsia="Times New Roman" w:hAnsi="Times New Roman" w:cs="Times New Roman"/>
          <w:sz w:val="24"/>
          <w:szCs w:val="24"/>
          <w:lang w:eastAsia="it-IT"/>
        </w:rPr>
        <w:t xml:space="preserve"> è distinto dallo Stato (Agenzie fiscali).</w:t>
      </w:r>
    </w:p>
    <w:p w:rsidR="00E337F3" w:rsidRDefault="00E337F3"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Orbene, la scelta di un avvocato del libero foro in </w:t>
      </w:r>
      <w:r w:rsidR="0020633B">
        <w:rPr>
          <w:rFonts w:ascii="Times New Roman" w:eastAsia="Times New Roman" w:hAnsi="Times New Roman" w:cs="Times New Roman"/>
          <w:sz w:val="24"/>
          <w:szCs w:val="24"/>
          <w:lang w:eastAsia="it-IT"/>
        </w:rPr>
        <w:t>luogo dell’Avvocato dello Stato</w:t>
      </w:r>
      <w:r>
        <w:rPr>
          <w:rFonts w:ascii="Times New Roman" w:eastAsia="Times New Roman" w:hAnsi="Times New Roman" w:cs="Times New Roman"/>
          <w:sz w:val="24"/>
          <w:szCs w:val="24"/>
          <w:lang w:eastAsia="it-IT"/>
        </w:rPr>
        <w:t xml:space="preserve"> non è discrezionale</w:t>
      </w:r>
      <w:r w:rsidR="00E46D65">
        <w:rPr>
          <w:rFonts w:ascii="Times New Roman" w:eastAsia="Times New Roman" w:hAnsi="Times New Roman" w:cs="Times New Roman"/>
          <w:sz w:val="24"/>
          <w:szCs w:val="24"/>
          <w:lang w:eastAsia="it-IT"/>
        </w:rPr>
        <w:t xml:space="preserve"> ma, in base alla predetta normativa e, in particolare, alla luce dell’art. 4 del </w:t>
      </w:r>
      <w:proofErr w:type="spellStart"/>
      <w:r w:rsidR="00E46D65">
        <w:rPr>
          <w:rFonts w:ascii="Times New Roman" w:eastAsia="Times New Roman" w:hAnsi="Times New Roman" w:cs="Times New Roman"/>
          <w:sz w:val="24"/>
          <w:szCs w:val="24"/>
          <w:lang w:eastAsia="it-IT"/>
        </w:rPr>
        <w:t>D.lgs</w:t>
      </w:r>
      <w:proofErr w:type="spellEnd"/>
      <w:r w:rsidR="00E46D65">
        <w:rPr>
          <w:rFonts w:ascii="Times New Roman" w:eastAsia="Times New Roman" w:hAnsi="Times New Roman" w:cs="Times New Roman"/>
          <w:sz w:val="24"/>
          <w:szCs w:val="24"/>
          <w:lang w:eastAsia="it-IT"/>
        </w:rPr>
        <w:t xml:space="preserve"> n.</w:t>
      </w:r>
      <w:r w:rsidR="0020633B">
        <w:rPr>
          <w:rFonts w:ascii="Times New Roman" w:eastAsia="Times New Roman" w:hAnsi="Times New Roman" w:cs="Times New Roman"/>
          <w:sz w:val="24"/>
          <w:szCs w:val="24"/>
          <w:lang w:eastAsia="it-IT"/>
        </w:rPr>
        <w:t xml:space="preserve"> </w:t>
      </w:r>
      <w:r w:rsidR="00E46D65">
        <w:rPr>
          <w:rFonts w:ascii="Times New Roman" w:eastAsia="Times New Roman" w:hAnsi="Times New Roman" w:cs="Times New Roman"/>
          <w:sz w:val="24"/>
          <w:szCs w:val="24"/>
          <w:lang w:eastAsia="it-IT"/>
        </w:rPr>
        <w:t>50/2016</w:t>
      </w:r>
      <w:r w:rsidR="0020633B">
        <w:rPr>
          <w:rFonts w:ascii="Times New Roman" w:eastAsia="Times New Roman" w:hAnsi="Times New Roman" w:cs="Times New Roman"/>
          <w:sz w:val="24"/>
          <w:szCs w:val="24"/>
          <w:lang w:eastAsia="it-IT"/>
        </w:rPr>
        <w:t xml:space="preserve"> </w:t>
      </w:r>
      <w:r w:rsidR="00E46D65">
        <w:rPr>
          <w:rFonts w:ascii="Times New Roman" w:eastAsia="Times New Roman" w:hAnsi="Times New Roman" w:cs="Times New Roman"/>
          <w:sz w:val="24"/>
          <w:szCs w:val="24"/>
          <w:lang w:eastAsia="it-IT"/>
        </w:rPr>
        <w:t xml:space="preserve">(Codice dei contratti pubblici), che individua i principi relativi all’affidamento dei contratti pubblici, l’Agenzia deve operare nel rispetto dei </w:t>
      </w:r>
      <w:r w:rsidR="00E46D65" w:rsidRPr="00E46D65">
        <w:rPr>
          <w:rFonts w:ascii="Times New Roman" w:eastAsia="Times New Roman" w:hAnsi="Times New Roman" w:cs="Times New Roman"/>
          <w:i/>
          <w:sz w:val="24"/>
          <w:szCs w:val="24"/>
          <w:lang w:eastAsia="it-IT"/>
        </w:rPr>
        <w:t>“principi di legalità, imparzialità, trasparenza, efficienza ed economicità”</w:t>
      </w:r>
      <w:r w:rsidR="00E12C03">
        <w:rPr>
          <w:rFonts w:ascii="Times New Roman" w:eastAsia="Times New Roman" w:hAnsi="Times New Roman" w:cs="Times New Roman"/>
          <w:i/>
          <w:sz w:val="24"/>
          <w:szCs w:val="24"/>
          <w:lang w:eastAsia="it-IT"/>
        </w:rPr>
        <w:t xml:space="preserve"> </w:t>
      </w:r>
      <w:r w:rsidR="00E46D65">
        <w:rPr>
          <w:rFonts w:ascii="Times New Roman" w:eastAsia="Times New Roman" w:hAnsi="Times New Roman" w:cs="Times New Roman"/>
          <w:sz w:val="24"/>
          <w:szCs w:val="24"/>
          <w:lang w:eastAsia="it-IT"/>
        </w:rPr>
        <w:t>(come ribadito con il regolamento del 28 marzo del 2018).</w:t>
      </w:r>
    </w:p>
    <w:p w:rsidR="00E46D65" w:rsidRDefault="00E46D65"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normativa in questione, infatti, ha disposto che l’affidamento dell’incarico difensivo ad avvocati del libero foro è condizionato dai medesimi criteri di selezione </w:t>
      </w:r>
      <w:r w:rsidR="00853FB0">
        <w:rPr>
          <w:rFonts w:ascii="Times New Roman" w:eastAsia="Times New Roman" w:hAnsi="Times New Roman" w:cs="Times New Roman"/>
          <w:sz w:val="24"/>
          <w:szCs w:val="24"/>
          <w:lang w:eastAsia="it-IT"/>
        </w:rPr>
        <w:t xml:space="preserve">di cui al codice dei contratti pubblici e, soprattutto, </w:t>
      </w:r>
      <w:r w:rsidR="00E12C03">
        <w:rPr>
          <w:rFonts w:ascii="Times New Roman" w:eastAsia="Times New Roman" w:hAnsi="Times New Roman" w:cs="Times New Roman"/>
          <w:sz w:val="24"/>
          <w:szCs w:val="24"/>
          <w:lang w:eastAsia="it-IT"/>
        </w:rPr>
        <w:t>d</w:t>
      </w:r>
      <w:r w:rsidR="00853FB0">
        <w:rPr>
          <w:rFonts w:ascii="Times New Roman" w:eastAsia="Times New Roman" w:hAnsi="Times New Roman" w:cs="Times New Roman"/>
          <w:sz w:val="24"/>
          <w:szCs w:val="24"/>
          <w:lang w:eastAsia="it-IT"/>
        </w:rPr>
        <w:t>agli “specifici criteri  definiti negli atti di carattere generale deliberati ai sensi del comma 5 del presente articolo</w:t>
      </w:r>
      <w:r w:rsidR="00E12C03">
        <w:rPr>
          <w:rFonts w:ascii="Times New Roman" w:eastAsia="Times New Roman" w:hAnsi="Times New Roman" w:cs="Times New Roman"/>
          <w:sz w:val="24"/>
          <w:szCs w:val="24"/>
          <w:lang w:eastAsia="it-IT"/>
        </w:rPr>
        <w:t xml:space="preserve"> </w:t>
      </w:r>
      <w:r w:rsidR="00853FB0">
        <w:rPr>
          <w:rFonts w:ascii="Times New Roman" w:eastAsia="Times New Roman" w:hAnsi="Times New Roman" w:cs="Times New Roman"/>
          <w:sz w:val="24"/>
          <w:szCs w:val="24"/>
          <w:lang w:eastAsia="it-IT"/>
        </w:rPr>
        <w:t>(art. 1</w:t>
      </w:r>
      <w:r w:rsidR="00E12C03">
        <w:rPr>
          <w:rFonts w:ascii="Times New Roman" w:eastAsia="Times New Roman" w:hAnsi="Times New Roman" w:cs="Times New Roman"/>
          <w:sz w:val="24"/>
          <w:szCs w:val="24"/>
          <w:lang w:eastAsia="it-IT"/>
        </w:rPr>
        <w:t>,</w:t>
      </w:r>
      <w:r w:rsidR="00853FB0">
        <w:rPr>
          <w:rFonts w:ascii="Times New Roman" w:eastAsia="Times New Roman" w:hAnsi="Times New Roman" w:cs="Times New Roman"/>
          <w:sz w:val="24"/>
          <w:szCs w:val="24"/>
          <w:lang w:eastAsia="it-IT"/>
        </w:rPr>
        <w:t xml:space="preserve"> comma 8, D.L.</w:t>
      </w:r>
      <w:r w:rsidR="00E12C03">
        <w:rPr>
          <w:rFonts w:ascii="Times New Roman" w:eastAsia="Times New Roman" w:hAnsi="Times New Roman" w:cs="Times New Roman"/>
          <w:sz w:val="24"/>
          <w:szCs w:val="24"/>
          <w:lang w:eastAsia="it-IT"/>
        </w:rPr>
        <w:t xml:space="preserve"> </w:t>
      </w:r>
      <w:r w:rsidR="00853FB0">
        <w:rPr>
          <w:rFonts w:ascii="Times New Roman" w:eastAsia="Times New Roman" w:hAnsi="Times New Roman" w:cs="Times New Roman"/>
          <w:sz w:val="24"/>
          <w:szCs w:val="24"/>
          <w:lang w:eastAsia="it-IT"/>
        </w:rPr>
        <w:t>n.</w:t>
      </w:r>
      <w:r w:rsidR="00E12C03">
        <w:rPr>
          <w:rFonts w:ascii="Times New Roman" w:eastAsia="Times New Roman" w:hAnsi="Times New Roman" w:cs="Times New Roman"/>
          <w:sz w:val="24"/>
          <w:szCs w:val="24"/>
          <w:lang w:eastAsia="it-IT"/>
        </w:rPr>
        <w:t xml:space="preserve"> </w:t>
      </w:r>
      <w:r w:rsidR="00853FB0">
        <w:rPr>
          <w:rFonts w:ascii="Times New Roman" w:eastAsia="Times New Roman" w:hAnsi="Times New Roman" w:cs="Times New Roman"/>
          <w:sz w:val="24"/>
          <w:szCs w:val="24"/>
          <w:lang w:eastAsia="it-IT"/>
        </w:rPr>
        <w:t>193/2016 in esame); ossia</w:t>
      </w:r>
      <w:r w:rsidR="00E12C03" w:rsidRPr="007B00DB">
        <w:rPr>
          <w:rFonts w:ascii="Times New Roman" w:eastAsia="Times New Roman" w:hAnsi="Times New Roman" w:cs="Times New Roman"/>
          <w:sz w:val="24"/>
          <w:szCs w:val="24"/>
          <w:lang w:eastAsia="it-IT"/>
        </w:rPr>
        <w:t>,</w:t>
      </w:r>
      <w:r w:rsidR="00853FB0" w:rsidRPr="007B00DB">
        <w:rPr>
          <w:rFonts w:ascii="Times New Roman" w:eastAsia="Times New Roman" w:hAnsi="Times New Roman" w:cs="Times New Roman"/>
          <w:sz w:val="24"/>
          <w:szCs w:val="24"/>
          <w:lang w:eastAsia="it-IT"/>
        </w:rPr>
        <w:t xml:space="preserve"> </w:t>
      </w:r>
      <w:r w:rsidR="00E12C03" w:rsidRPr="007B00DB">
        <w:rPr>
          <w:rFonts w:ascii="Times New Roman" w:eastAsia="Times New Roman" w:hAnsi="Times New Roman" w:cs="Times New Roman"/>
          <w:sz w:val="24"/>
          <w:szCs w:val="24"/>
          <w:lang w:eastAsia="it-IT"/>
        </w:rPr>
        <w:t>dallo</w:t>
      </w:r>
      <w:r w:rsidR="00E12C03">
        <w:rPr>
          <w:rFonts w:ascii="Times New Roman" w:eastAsia="Times New Roman" w:hAnsi="Times New Roman" w:cs="Times New Roman"/>
          <w:color w:val="0000FF"/>
          <w:sz w:val="24"/>
          <w:szCs w:val="24"/>
          <w:lang w:eastAsia="it-IT"/>
        </w:rPr>
        <w:t xml:space="preserve"> </w:t>
      </w:r>
      <w:r w:rsidR="00853FB0">
        <w:rPr>
          <w:rFonts w:ascii="Times New Roman" w:eastAsia="Times New Roman" w:hAnsi="Times New Roman" w:cs="Times New Roman"/>
          <w:sz w:val="24"/>
          <w:szCs w:val="24"/>
          <w:lang w:eastAsia="it-IT"/>
        </w:rPr>
        <w:t xml:space="preserve">statuto e </w:t>
      </w:r>
      <w:r w:rsidR="00E12C03" w:rsidRPr="007B00DB">
        <w:rPr>
          <w:rFonts w:ascii="Times New Roman" w:eastAsia="Times New Roman" w:hAnsi="Times New Roman" w:cs="Times New Roman"/>
          <w:sz w:val="24"/>
          <w:szCs w:val="24"/>
          <w:lang w:eastAsia="it-IT"/>
        </w:rPr>
        <w:t xml:space="preserve">da </w:t>
      </w:r>
      <w:r w:rsidR="00853FB0">
        <w:rPr>
          <w:rFonts w:ascii="Times New Roman" w:eastAsia="Times New Roman" w:hAnsi="Times New Roman" w:cs="Times New Roman"/>
          <w:sz w:val="24"/>
          <w:szCs w:val="24"/>
          <w:lang w:eastAsia="it-IT"/>
        </w:rPr>
        <w:t xml:space="preserve">quegli atti, appunto, di carattere generale, di competenza del comitato di gestione, “che </w:t>
      </w:r>
      <w:r w:rsidR="00853FB0">
        <w:rPr>
          <w:rFonts w:ascii="Times New Roman" w:eastAsia="Times New Roman" w:hAnsi="Times New Roman" w:cs="Times New Roman"/>
          <w:sz w:val="24"/>
          <w:szCs w:val="24"/>
          <w:lang w:eastAsia="it-IT"/>
        </w:rPr>
        <w:lastRenderedPageBreak/>
        <w:t>disciplinano l’organizzazione e il funzionamento dell’ente” devono</w:t>
      </w:r>
      <w:r w:rsidR="00A70BFB">
        <w:rPr>
          <w:rFonts w:ascii="Times New Roman" w:eastAsia="Times New Roman" w:hAnsi="Times New Roman" w:cs="Times New Roman"/>
          <w:sz w:val="24"/>
          <w:szCs w:val="24"/>
          <w:lang w:eastAsia="it-IT"/>
        </w:rPr>
        <w:t xml:space="preserve"> essere individuati</w:t>
      </w:r>
      <w:r w:rsidR="00853FB0">
        <w:rPr>
          <w:rFonts w:ascii="Times New Roman" w:eastAsia="Times New Roman" w:hAnsi="Times New Roman" w:cs="Times New Roman"/>
          <w:sz w:val="24"/>
          <w:szCs w:val="24"/>
          <w:lang w:eastAsia="it-IT"/>
        </w:rPr>
        <w:t xml:space="preserve"> i casi di accesso al patrocinio del libero foro</w:t>
      </w:r>
      <w:r w:rsidR="00E12C03">
        <w:rPr>
          <w:rFonts w:ascii="Times New Roman" w:eastAsia="Times New Roman" w:hAnsi="Times New Roman" w:cs="Times New Roman"/>
          <w:sz w:val="24"/>
          <w:szCs w:val="24"/>
          <w:lang w:eastAsia="it-IT"/>
        </w:rPr>
        <w:t>, in alternativa a quello dell’A</w:t>
      </w:r>
      <w:r w:rsidR="00853FB0">
        <w:rPr>
          <w:rFonts w:ascii="Times New Roman" w:eastAsia="Times New Roman" w:hAnsi="Times New Roman" w:cs="Times New Roman"/>
          <w:sz w:val="24"/>
          <w:szCs w:val="24"/>
          <w:lang w:eastAsia="it-IT"/>
        </w:rPr>
        <w:t>vvocatura dello Stato.</w:t>
      </w:r>
    </w:p>
    <w:p w:rsidR="00853FB0" w:rsidRDefault="00853FB0" w:rsidP="00040CB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Precisamente, a parere della Suprema Corte, </w:t>
      </w:r>
      <w:r w:rsidR="00D1202D">
        <w:rPr>
          <w:rFonts w:ascii="Times New Roman" w:eastAsia="Times New Roman" w:hAnsi="Times New Roman" w:cs="Times New Roman"/>
          <w:sz w:val="24"/>
          <w:szCs w:val="24"/>
          <w:lang w:eastAsia="it-IT"/>
        </w:rPr>
        <w:t>la decisione di avvalersi di avvocati del libero foro per la difesa in giudizio</w:t>
      </w:r>
      <w:r w:rsidR="000F4618">
        <w:rPr>
          <w:rFonts w:ascii="Times New Roman" w:eastAsia="Times New Roman" w:hAnsi="Times New Roman" w:cs="Times New Roman"/>
          <w:sz w:val="24"/>
          <w:szCs w:val="24"/>
          <w:lang w:eastAsia="it-IT"/>
        </w:rPr>
        <w:t>,</w:t>
      </w:r>
      <w:r w:rsidR="00D1202D">
        <w:rPr>
          <w:rFonts w:ascii="Times New Roman" w:eastAsia="Times New Roman" w:hAnsi="Times New Roman" w:cs="Times New Roman"/>
          <w:sz w:val="24"/>
          <w:szCs w:val="24"/>
          <w:lang w:eastAsia="it-IT"/>
        </w:rPr>
        <w:t xml:space="preserve"> per essere valida</w:t>
      </w:r>
      <w:r w:rsidR="000F4618">
        <w:rPr>
          <w:rFonts w:ascii="Times New Roman" w:eastAsia="Times New Roman" w:hAnsi="Times New Roman" w:cs="Times New Roman"/>
          <w:sz w:val="24"/>
          <w:szCs w:val="24"/>
          <w:lang w:eastAsia="it-IT"/>
        </w:rPr>
        <w:t>,</w:t>
      </w:r>
      <w:r w:rsidR="00D1202D">
        <w:rPr>
          <w:rFonts w:ascii="Times New Roman" w:eastAsia="Times New Roman" w:hAnsi="Times New Roman" w:cs="Times New Roman"/>
          <w:sz w:val="24"/>
          <w:szCs w:val="24"/>
          <w:lang w:eastAsia="it-IT"/>
        </w:rPr>
        <w:t xml:space="preserve"> presuppone:</w:t>
      </w:r>
    </w:p>
    <w:p w:rsidR="00D1202D" w:rsidRDefault="00D1202D" w:rsidP="000F4618">
      <w:pPr>
        <w:pStyle w:val="Paragrafoelenco"/>
        <w:numPr>
          <w:ilvl w:val="0"/>
          <w:numId w:val="1"/>
        </w:numPr>
        <w:spacing w:after="0" w:line="36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si sia in presenza di un caso speciale;</w:t>
      </w:r>
    </w:p>
    <w:p w:rsidR="00D1202D" w:rsidRDefault="00D1202D" w:rsidP="000F4618">
      <w:pPr>
        <w:pStyle w:val="Paragrafoelenco"/>
        <w:numPr>
          <w:ilvl w:val="0"/>
          <w:numId w:val="1"/>
        </w:numPr>
        <w:spacing w:after="0" w:line="36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intervenga un’apposita delibera dell’organo deliberante;</w:t>
      </w:r>
    </w:p>
    <w:p w:rsidR="00D1202D" w:rsidRDefault="00D1202D" w:rsidP="000F4618">
      <w:pPr>
        <w:pStyle w:val="Paragrafoelenco"/>
        <w:numPr>
          <w:ilvl w:val="0"/>
          <w:numId w:val="1"/>
        </w:numPr>
        <w:spacing w:after="0" w:line="36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tale delibera sia sottoposta agli organi di vigilanza;</w:t>
      </w:r>
    </w:p>
    <w:p w:rsidR="00D1202D" w:rsidRDefault="00D1202D" w:rsidP="000F4618">
      <w:pPr>
        <w:pStyle w:val="Paragrafoelenco"/>
        <w:numPr>
          <w:ilvl w:val="0"/>
          <w:numId w:val="1"/>
        </w:numPr>
        <w:spacing w:after="0" w:line="36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sia prodotta in giudizio idonea documentazione in merito alla sussistenza dei suddetti elementi.</w:t>
      </w:r>
    </w:p>
    <w:p w:rsidR="00D1202D" w:rsidRDefault="00D1202D" w:rsidP="00D1202D">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Inoltre, il “Regolamento di </w:t>
      </w:r>
      <w:r w:rsidR="000F4618">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mministrazione”</w:t>
      </w:r>
      <w:r w:rsidR="000F461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di Agenzia delle </w:t>
      </w:r>
      <w:r w:rsidR="000F4618">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ntrate-Riscossione, deliberato dal Comitato di Gestione il 26 marzo 2018 e approvato dal Ministero dell’Economia e delle Finanze il 19 maggio 2018, nel disciplinare l’aspetto del patrocinio legale, stabilisce che l’ente stesso possa </w:t>
      </w:r>
      <w:r w:rsidRPr="00A70BFB">
        <w:rPr>
          <w:rFonts w:ascii="Times New Roman" w:eastAsia="Times New Roman" w:hAnsi="Times New Roman" w:cs="Times New Roman"/>
          <w:i/>
          <w:sz w:val="24"/>
          <w:szCs w:val="24"/>
          <w:lang w:eastAsia="it-IT"/>
        </w:rPr>
        <w:t>“continuare ad avvalersi di avvocati di libero foro</w:t>
      </w:r>
      <w:r w:rsidR="0045524A" w:rsidRPr="00A70BFB">
        <w:rPr>
          <w:rFonts w:ascii="Times New Roman" w:eastAsia="Times New Roman" w:hAnsi="Times New Roman" w:cs="Times New Roman"/>
          <w:i/>
          <w:sz w:val="24"/>
          <w:szCs w:val="24"/>
          <w:lang w:eastAsia="it-IT"/>
        </w:rPr>
        <w:t>”</w:t>
      </w:r>
      <w:r w:rsidR="0045524A">
        <w:rPr>
          <w:rFonts w:ascii="Times New Roman" w:eastAsia="Times New Roman" w:hAnsi="Times New Roman" w:cs="Times New Roman"/>
          <w:sz w:val="24"/>
          <w:szCs w:val="24"/>
          <w:lang w:eastAsia="it-IT"/>
        </w:rPr>
        <w:t>, ma soltanto “</w:t>
      </w:r>
      <w:r w:rsidR="0045524A" w:rsidRPr="00A70BFB">
        <w:rPr>
          <w:rFonts w:ascii="Times New Roman" w:eastAsia="Times New Roman" w:hAnsi="Times New Roman" w:cs="Times New Roman"/>
          <w:i/>
          <w:sz w:val="24"/>
          <w:szCs w:val="24"/>
          <w:lang w:eastAsia="it-IT"/>
        </w:rPr>
        <w:t>in via residuale</w:t>
      </w:r>
      <w:r w:rsidR="0045524A">
        <w:rPr>
          <w:rFonts w:ascii="Times New Roman" w:eastAsia="Times New Roman" w:hAnsi="Times New Roman" w:cs="Times New Roman"/>
          <w:sz w:val="24"/>
          <w:szCs w:val="24"/>
          <w:lang w:eastAsia="it-IT"/>
        </w:rPr>
        <w:t xml:space="preserve">” e </w:t>
      </w:r>
      <w:r w:rsidR="0045524A" w:rsidRPr="00A70BFB">
        <w:rPr>
          <w:rFonts w:ascii="Times New Roman" w:eastAsia="Times New Roman" w:hAnsi="Times New Roman" w:cs="Times New Roman"/>
          <w:i/>
          <w:sz w:val="24"/>
          <w:szCs w:val="24"/>
          <w:lang w:eastAsia="it-IT"/>
        </w:rPr>
        <w:t>“nei casi in cui si accerti l’impossibilità dell’Avvocatura dello Stato di assumere il patrocinio”</w:t>
      </w:r>
      <w:r w:rsidR="000F4618">
        <w:rPr>
          <w:rFonts w:ascii="Times New Roman" w:eastAsia="Times New Roman" w:hAnsi="Times New Roman" w:cs="Times New Roman"/>
          <w:sz w:val="24"/>
          <w:szCs w:val="24"/>
          <w:lang w:eastAsia="it-IT"/>
        </w:rPr>
        <w:t xml:space="preserve"> </w:t>
      </w:r>
      <w:r w:rsidR="0045524A">
        <w:rPr>
          <w:rFonts w:ascii="Times New Roman" w:eastAsia="Times New Roman" w:hAnsi="Times New Roman" w:cs="Times New Roman"/>
          <w:sz w:val="24"/>
          <w:szCs w:val="24"/>
          <w:lang w:eastAsia="it-IT"/>
        </w:rPr>
        <w:t>(eccezione), secondo le modalità operative concordate con apposita convenzione.</w:t>
      </w:r>
    </w:p>
    <w:p w:rsidR="0045524A" w:rsidRDefault="0045524A" w:rsidP="00D1202D">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Tale regolamento, però, nel recepire le disposizioni normative succitate, individua in via generale le fattispecie di accesso al libero foro, subordinandole alla dichiarata impossibilità dell’avvocatura di assumere l’incarico, ma non assolve né alla funzione della delibera motivata di cui al comma 4° dell’art. 43 del R.D. n.1611, né </w:t>
      </w:r>
      <w:r w:rsidR="00EB7FD8">
        <w:rPr>
          <w:rFonts w:ascii="Times New Roman" w:eastAsia="Times New Roman" w:hAnsi="Times New Roman" w:cs="Times New Roman"/>
          <w:sz w:val="24"/>
          <w:szCs w:val="24"/>
          <w:lang w:eastAsia="it-IT"/>
        </w:rPr>
        <w:t>della delibera o atto amministrativo ritenuto necessario dal testo novellato  del comma 8° dell’art. 1 del d.l.</w:t>
      </w:r>
      <w:r w:rsidR="000F4618">
        <w:rPr>
          <w:rFonts w:ascii="Times New Roman" w:eastAsia="Times New Roman" w:hAnsi="Times New Roman" w:cs="Times New Roman"/>
          <w:sz w:val="24"/>
          <w:szCs w:val="24"/>
          <w:lang w:eastAsia="it-IT"/>
        </w:rPr>
        <w:t xml:space="preserve"> </w:t>
      </w:r>
      <w:r w:rsidR="00EB7FD8">
        <w:rPr>
          <w:rFonts w:ascii="Times New Roman" w:eastAsia="Times New Roman" w:hAnsi="Times New Roman" w:cs="Times New Roman"/>
          <w:sz w:val="24"/>
          <w:szCs w:val="24"/>
          <w:lang w:eastAsia="it-IT"/>
        </w:rPr>
        <w:t>n.</w:t>
      </w:r>
      <w:r w:rsidR="000F4618">
        <w:rPr>
          <w:rFonts w:ascii="Times New Roman" w:eastAsia="Times New Roman" w:hAnsi="Times New Roman" w:cs="Times New Roman"/>
          <w:sz w:val="24"/>
          <w:szCs w:val="24"/>
          <w:lang w:eastAsia="it-IT"/>
        </w:rPr>
        <w:t xml:space="preserve"> </w:t>
      </w:r>
      <w:r w:rsidR="00EB7FD8">
        <w:rPr>
          <w:rFonts w:ascii="Times New Roman" w:eastAsia="Times New Roman" w:hAnsi="Times New Roman" w:cs="Times New Roman"/>
          <w:sz w:val="24"/>
          <w:szCs w:val="24"/>
          <w:lang w:eastAsia="it-IT"/>
        </w:rPr>
        <w:t>193/2016, il quale implica,</w:t>
      </w:r>
      <w:r w:rsidR="000F4618">
        <w:rPr>
          <w:rFonts w:ascii="Times New Roman" w:eastAsia="Times New Roman" w:hAnsi="Times New Roman" w:cs="Times New Roman"/>
          <w:sz w:val="24"/>
          <w:szCs w:val="24"/>
          <w:lang w:eastAsia="it-IT"/>
        </w:rPr>
        <w:t xml:space="preserve"> </w:t>
      </w:r>
      <w:r w:rsidR="00EB7FD8">
        <w:rPr>
          <w:rFonts w:ascii="Times New Roman" w:eastAsia="Times New Roman" w:hAnsi="Times New Roman" w:cs="Times New Roman"/>
          <w:sz w:val="24"/>
          <w:szCs w:val="24"/>
          <w:lang w:eastAsia="it-IT"/>
        </w:rPr>
        <w:t>a sua volta, la fissazione di criteri specifici contenuti in atti generali deliberati dal comitato di gestione.</w:t>
      </w:r>
    </w:p>
    <w:p w:rsidR="00EB7FD8" w:rsidRDefault="00EB7FD8" w:rsidP="00D1202D">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Alla luce di quanto suesposto,  secondo la Corte di Cassazione </w:t>
      </w:r>
      <w:r w:rsidRPr="00763BAC">
        <w:rPr>
          <w:rFonts w:ascii="Times New Roman" w:eastAsia="Times New Roman" w:hAnsi="Times New Roman" w:cs="Times New Roman"/>
          <w:i/>
          <w:sz w:val="24"/>
          <w:szCs w:val="24"/>
          <w:lang w:eastAsia="it-IT"/>
        </w:rPr>
        <w:t>“laddove il mandato dell’avvocato del libero foro sia stato rilasciato</w:t>
      </w:r>
      <w:r w:rsidR="00763BAC" w:rsidRPr="00763BAC">
        <w:rPr>
          <w:rFonts w:ascii="Times New Roman" w:eastAsia="Times New Roman" w:hAnsi="Times New Roman" w:cs="Times New Roman"/>
          <w:i/>
          <w:sz w:val="24"/>
          <w:szCs w:val="24"/>
          <w:lang w:eastAsia="it-IT"/>
        </w:rPr>
        <w:t xml:space="preserve"> senza il vaglio dell’organo di vigilanza e non ricorra un caso di urgenza oppure non si sia in presenza di un documentato conflitto d’interessi reale, tale atto è nullo ed è suscettibile di sanatoria soltanto nei limiti stabiliti dall’art. 125 c.p.c. e a certe condizioni ma esclusivamente per i giudizi di merito e non per il giudizio di Cassazione, a meno che si sia formato giudicato interno sul punto…”</w:t>
      </w:r>
      <w:r w:rsidR="00763BAC">
        <w:rPr>
          <w:rFonts w:ascii="Times New Roman" w:eastAsia="Times New Roman" w:hAnsi="Times New Roman" w:cs="Times New Roman"/>
          <w:sz w:val="24"/>
          <w:szCs w:val="24"/>
          <w:lang w:eastAsia="it-IT"/>
        </w:rPr>
        <w:t>.</w:t>
      </w:r>
    </w:p>
    <w:p w:rsidR="00763BAC" w:rsidRDefault="00763BAC" w:rsidP="00D1202D">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Pertanto, </w:t>
      </w:r>
      <w:r w:rsidRPr="00A70BFB">
        <w:rPr>
          <w:rFonts w:ascii="Times New Roman" w:eastAsia="Times New Roman" w:hAnsi="Times New Roman" w:cs="Times New Roman"/>
          <w:b/>
          <w:sz w:val="24"/>
          <w:szCs w:val="24"/>
          <w:lang w:eastAsia="it-IT"/>
        </w:rPr>
        <w:t>la delibera dell’organo deliberante si configura come un requisito indispensabile per la validità del mandato difensivo conferito dall’avvocato del libero foro</w:t>
      </w:r>
      <w:r>
        <w:rPr>
          <w:rFonts w:ascii="Times New Roman" w:eastAsia="Times New Roman" w:hAnsi="Times New Roman" w:cs="Times New Roman"/>
          <w:sz w:val="24"/>
          <w:szCs w:val="24"/>
          <w:lang w:eastAsia="it-IT"/>
        </w:rPr>
        <w:t>, imposto dalla richiamata normativa specia</w:t>
      </w:r>
      <w:r w:rsidR="000F4618">
        <w:rPr>
          <w:rFonts w:ascii="Times New Roman" w:eastAsia="Times New Roman" w:hAnsi="Times New Roman" w:cs="Times New Roman"/>
          <w:sz w:val="24"/>
          <w:szCs w:val="24"/>
          <w:lang w:eastAsia="it-IT"/>
        </w:rPr>
        <w:t>le sul patrocinio autorizzato e</w:t>
      </w:r>
      <w:r>
        <w:rPr>
          <w:rFonts w:ascii="Times New Roman" w:eastAsia="Times New Roman" w:hAnsi="Times New Roman" w:cs="Times New Roman"/>
          <w:sz w:val="24"/>
          <w:szCs w:val="24"/>
          <w:lang w:eastAsia="it-IT"/>
        </w:rPr>
        <w:t xml:space="preserve">, invece, </w:t>
      </w:r>
      <w:r w:rsidRPr="00A70BFB">
        <w:rPr>
          <w:rFonts w:ascii="Times New Roman" w:eastAsia="Times New Roman" w:hAnsi="Times New Roman" w:cs="Times New Roman"/>
          <w:b/>
          <w:sz w:val="24"/>
          <w:szCs w:val="24"/>
          <w:lang w:eastAsia="it-IT"/>
        </w:rPr>
        <w:t>il regolamento non è atto idoneo a legittimare il ricorso al patrocinio dell’avvocato del libero foro</w:t>
      </w:r>
      <w:r>
        <w:rPr>
          <w:rFonts w:ascii="Times New Roman" w:eastAsia="Times New Roman" w:hAnsi="Times New Roman" w:cs="Times New Roman"/>
          <w:sz w:val="24"/>
          <w:szCs w:val="24"/>
          <w:lang w:eastAsia="it-IT"/>
        </w:rPr>
        <w:t>, stabilendo solo i presupposti che ne determinano la possibilità di derogare, nel caso concreto, alla regola generale.</w:t>
      </w:r>
    </w:p>
    <w:p w:rsidR="00763BAC" w:rsidRDefault="00763BAC" w:rsidP="00D1202D">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 ciò ne discende che, la carenza di una valida delibera, comporta il difetto dello </w:t>
      </w:r>
      <w:proofErr w:type="spellStart"/>
      <w:r w:rsidRPr="00DB31AD">
        <w:rPr>
          <w:rFonts w:ascii="Times New Roman" w:eastAsia="Times New Roman" w:hAnsi="Times New Roman" w:cs="Times New Roman"/>
          <w:i/>
          <w:sz w:val="24"/>
          <w:szCs w:val="24"/>
          <w:lang w:eastAsia="it-IT"/>
        </w:rPr>
        <w:t>ius</w:t>
      </w:r>
      <w:proofErr w:type="spellEnd"/>
      <w:r w:rsidRPr="00DB31AD">
        <w:rPr>
          <w:rFonts w:ascii="Times New Roman" w:eastAsia="Times New Roman" w:hAnsi="Times New Roman" w:cs="Times New Roman"/>
          <w:i/>
          <w:sz w:val="24"/>
          <w:szCs w:val="24"/>
          <w:lang w:eastAsia="it-IT"/>
        </w:rPr>
        <w:t xml:space="preserve"> </w:t>
      </w:r>
      <w:proofErr w:type="spellStart"/>
      <w:r w:rsidRPr="00DB31AD">
        <w:rPr>
          <w:rFonts w:ascii="Times New Roman" w:eastAsia="Times New Roman" w:hAnsi="Times New Roman" w:cs="Times New Roman"/>
          <w:i/>
          <w:sz w:val="24"/>
          <w:szCs w:val="24"/>
          <w:lang w:eastAsia="it-IT"/>
        </w:rPr>
        <w:t>postulandi</w:t>
      </w:r>
      <w:proofErr w:type="spellEnd"/>
      <w:r>
        <w:rPr>
          <w:rFonts w:ascii="Times New Roman" w:eastAsia="Times New Roman" w:hAnsi="Times New Roman" w:cs="Times New Roman"/>
          <w:sz w:val="24"/>
          <w:szCs w:val="24"/>
          <w:lang w:eastAsia="it-IT"/>
        </w:rPr>
        <w:t xml:space="preserve"> del difensore, </w:t>
      </w:r>
      <w:r w:rsidR="00DB31AD">
        <w:rPr>
          <w:rFonts w:ascii="Times New Roman" w:eastAsia="Times New Roman" w:hAnsi="Times New Roman" w:cs="Times New Roman"/>
          <w:sz w:val="24"/>
          <w:szCs w:val="24"/>
          <w:lang w:eastAsia="it-IT"/>
        </w:rPr>
        <w:t>rilevabile d’ufficio e,</w:t>
      </w:r>
      <w:r w:rsidR="00050372">
        <w:rPr>
          <w:rFonts w:ascii="Times New Roman" w:eastAsia="Times New Roman" w:hAnsi="Times New Roman" w:cs="Times New Roman"/>
          <w:sz w:val="24"/>
          <w:szCs w:val="24"/>
          <w:lang w:eastAsia="it-IT"/>
        </w:rPr>
        <w:t xml:space="preserve"> </w:t>
      </w:r>
      <w:r w:rsidR="00DB31AD">
        <w:rPr>
          <w:rFonts w:ascii="Times New Roman" w:eastAsia="Times New Roman" w:hAnsi="Times New Roman" w:cs="Times New Roman"/>
          <w:sz w:val="24"/>
          <w:szCs w:val="24"/>
          <w:lang w:eastAsia="it-IT"/>
        </w:rPr>
        <w:t>perciò</w:t>
      </w:r>
      <w:r w:rsidR="00050372" w:rsidRPr="00A70BFB">
        <w:rPr>
          <w:rFonts w:ascii="Times New Roman" w:eastAsia="Times New Roman" w:hAnsi="Times New Roman" w:cs="Times New Roman"/>
          <w:sz w:val="24"/>
          <w:szCs w:val="24"/>
          <w:lang w:eastAsia="it-IT"/>
        </w:rPr>
        <w:t>, l’</w:t>
      </w:r>
      <w:r w:rsidR="00DB31AD" w:rsidRPr="00A70BFB">
        <w:rPr>
          <w:rFonts w:ascii="Times New Roman" w:eastAsia="Times New Roman" w:hAnsi="Times New Roman" w:cs="Times New Roman"/>
          <w:sz w:val="24"/>
          <w:szCs w:val="24"/>
          <w:lang w:eastAsia="it-IT"/>
        </w:rPr>
        <w:t>invalidità della</w:t>
      </w:r>
      <w:r w:rsidR="00DB31AD">
        <w:rPr>
          <w:rFonts w:ascii="Times New Roman" w:eastAsia="Times New Roman" w:hAnsi="Times New Roman" w:cs="Times New Roman"/>
          <w:sz w:val="24"/>
          <w:szCs w:val="24"/>
          <w:lang w:eastAsia="it-IT"/>
        </w:rPr>
        <w:t xml:space="preserve"> procura speciale richiesta nel giudizio </w:t>
      </w:r>
      <w:r w:rsidR="00DB31AD">
        <w:rPr>
          <w:rFonts w:ascii="Times New Roman" w:eastAsia="Times New Roman" w:hAnsi="Times New Roman" w:cs="Times New Roman"/>
          <w:sz w:val="24"/>
          <w:szCs w:val="24"/>
          <w:lang w:eastAsia="it-IT"/>
        </w:rPr>
        <w:lastRenderedPageBreak/>
        <w:t>di Cassazione, comporta l’ulteriore conseguenza che la lite deve essere decisa tra le parti originarie del giudizio di legittimità.</w:t>
      </w:r>
    </w:p>
    <w:p w:rsidR="00BA5921" w:rsidRDefault="00BA5921" w:rsidP="00D1202D">
      <w:pPr>
        <w:spacing w:after="0" w:line="360" w:lineRule="auto"/>
        <w:jc w:val="both"/>
        <w:rPr>
          <w:rFonts w:ascii="Times New Roman" w:eastAsia="Times New Roman" w:hAnsi="Times New Roman" w:cs="Times New Roman"/>
          <w:sz w:val="24"/>
          <w:szCs w:val="24"/>
          <w:lang w:eastAsia="it-IT"/>
        </w:rPr>
      </w:pPr>
    </w:p>
    <w:p w:rsidR="00BA5921" w:rsidRDefault="00BA5921" w:rsidP="00BA5921">
      <w:pPr>
        <w:autoSpaceDE w:val="0"/>
        <w:spacing w:after="0" w:line="360" w:lineRule="auto"/>
        <w:jc w:val="both"/>
        <w:rPr>
          <w:rFonts w:ascii="Times New Roman" w:eastAsia="Times New Roman" w:hAnsi="Times New Roman"/>
          <w:b/>
          <w:color w:val="000000"/>
          <w:sz w:val="24"/>
          <w:szCs w:val="24"/>
          <w:lang w:eastAsia="it-IT"/>
        </w:rPr>
      </w:pPr>
      <w:proofErr w:type="gramStart"/>
      <w:r w:rsidRPr="003B4C44">
        <w:rPr>
          <w:rFonts w:ascii="Times New Roman" w:eastAsia="Times New Roman" w:hAnsi="Times New Roman"/>
          <w:b/>
          <w:color w:val="000000"/>
          <w:sz w:val="24"/>
          <w:szCs w:val="24"/>
          <w:lang w:eastAsia="it-IT"/>
        </w:rPr>
        <w:t xml:space="preserve">Lecce, </w:t>
      </w:r>
      <w:r w:rsidR="00A70BFB">
        <w:rPr>
          <w:rFonts w:ascii="Times New Roman" w:eastAsia="Times New Roman" w:hAnsi="Times New Roman"/>
          <w:b/>
          <w:color w:val="000000"/>
          <w:sz w:val="24"/>
          <w:szCs w:val="24"/>
          <w:lang w:eastAsia="it-IT"/>
        </w:rPr>
        <w:t xml:space="preserve"> 26</w:t>
      </w:r>
      <w:proofErr w:type="gramEnd"/>
      <w:r>
        <w:rPr>
          <w:rFonts w:ascii="Times New Roman" w:eastAsia="Times New Roman" w:hAnsi="Times New Roman"/>
          <w:b/>
          <w:color w:val="000000"/>
          <w:sz w:val="24"/>
          <w:szCs w:val="24"/>
          <w:lang w:eastAsia="it-IT"/>
        </w:rPr>
        <w:t xml:space="preserve"> novembre 2018</w:t>
      </w:r>
    </w:p>
    <w:p w:rsidR="00BA5921" w:rsidRDefault="00BA5921" w:rsidP="00BA5921">
      <w:pPr>
        <w:autoSpaceDE w:val="0"/>
        <w:spacing w:after="0" w:line="360" w:lineRule="auto"/>
        <w:jc w:val="both"/>
        <w:rPr>
          <w:rFonts w:ascii="Times New Roman" w:eastAsia="Times New Roman" w:hAnsi="Times New Roman"/>
          <w:b/>
          <w:color w:val="000000"/>
          <w:sz w:val="24"/>
          <w:szCs w:val="24"/>
          <w:lang w:eastAsia="it-IT"/>
        </w:rPr>
      </w:pPr>
    </w:p>
    <w:p w:rsidR="00BA5921" w:rsidRPr="003B4C44" w:rsidRDefault="00BA5921" w:rsidP="00BA5921">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w:t>
      </w:r>
      <w:r w:rsidR="00A70BFB">
        <w:rPr>
          <w:rFonts w:ascii="Times New Roman" w:eastAsia="Times New Roman" w:hAnsi="Times New Roman"/>
          <w:b/>
          <w:color w:val="000000"/>
          <w:sz w:val="24"/>
          <w:szCs w:val="24"/>
          <w:lang w:eastAsia="it-IT"/>
        </w:rPr>
        <w:t xml:space="preserve"> </w:t>
      </w: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Avv. Maurizio Villani</w:t>
      </w:r>
    </w:p>
    <w:p w:rsidR="00BA5921" w:rsidRDefault="00BA5921" w:rsidP="00BA5921">
      <w:pPr>
        <w:autoSpaceDE w:val="0"/>
        <w:spacing w:after="0" w:line="360" w:lineRule="auto"/>
        <w:ind w:left="4956"/>
        <w:jc w:val="both"/>
        <w:rPr>
          <w:rFonts w:ascii="Times New Roman" w:eastAsia="Times New Roman" w:hAnsi="Times New Roman"/>
          <w:b/>
          <w:color w:val="000000"/>
          <w:sz w:val="24"/>
          <w:szCs w:val="24"/>
          <w:lang w:eastAsia="it-IT"/>
        </w:rPr>
      </w:pPr>
      <w:r w:rsidRPr="003B4C44">
        <w:rPr>
          <w:rFonts w:ascii="Times New Roman" w:eastAsia="Times New Roman" w:hAnsi="Times New Roman"/>
          <w:b/>
          <w:color w:val="000000"/>
          <w:sz w:val="24"/>
          <w:szCs w:val="24"/>
          <w:lang w:eastAsia="it-IT"/>
        </w:rPr>
        <w:t xml:space="preserve">     </w:t>
      </w: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Avv. Lucia Morciano</w:t>
      </w:r>
    </w:p>
    <w:p w:rsidR="00BA5921" w:rsidRDefault="00BA5921" w:rsidP="00BA5921">
      <w:pPr>
        <w:autoSpaceDE w:val="0"/>
        <w:spacing w:after="0" w:line="360" w:lineRule="auto"/>
        <w:ind w:left="4956"/>
        <w:jc w:val="both"/>
        <w:rPr>
          <w:rFonts w:ascii="Times New Roman" w:eastAsia="Times New Roman" w:hAnsi="Times New Roman"/>
          <w:b/>
          <w:color w:val="000000"/>
          <w:sz w:val="24"/>
          <w:szCs w:val="24"/>
          <w:lang w:eastAsia="it-IT"/>
        </w:rPr>
      </w:pPr>
    </w:p>
    <w:p w:rsidR="00BA5921" w:rsidRPr="003B4C44" w:rsidRDefault="00BA5921" w:rsidP="00BA5921">
      <w:pPr>
        <w:rPr>
          <w:b/>
          <w:sz w:val="28"/>
          <w:szCs w:val="28"/>
        </w:rPr>
      </w:pPr>
    </w:p>
    <w:p w:rsidR="00BA5921" w:rsidRPr="003B4C44" w:rsidRDefault="00BA5921" w:rsidP="00BA5921">
      <w:pPr>
        <w:spacing w:after="0" w:line="360" w:lineRule="auto"/>
        <w:jc w:val="center"/>
        <w:rPr>
          <w:b/>
          <w:bCs/>
          <w:sz w:val="28"/>
          <w:szCs w:val="28"/>
        </w:rPr>
      </w:pPr>
      <w:r w:rsidRPr="003B4C44">
        <w:rPr>
          <w:b/>
          <w:bCs/>
          <w:sz w:val="28"/>
          <w:szCs w:val="28"/>
        </w:rPr>
        <w:t>AVV. MAURIZIO VILLANI</w:t>
      </w:r>
    </w:p>
    <w:p w:rsidR="00BA5921" w:rsidRPr="003B4C44" w:rsidRDefault="00BA5921" w:rsidP="00BA5921">
      <w:pPr>
        <w:spacing w:after="0" w:line="360" w:lineRule="auto"/>
        <w:jc w:val="center"/>
        <w:rPr>
          <w:b/>
          <w:bCs/>
          <w:sz w:val="28"/>
          <w:szCs w:val="28"/>
        </w:rPr>
      </w:pPr>
      <w:r w:rsidRPr="003B4C44">
        <w:rPr>
          <w:b/>
          <w:bCs/>
          <w:sz w:val="28"/>
          <w:szCs w:val="28"/>
        </w:rPr>
        <w:t>Avvocato Tributarista in Lecce</w:t>
      </w:r>
    </w:p>
    <w:p w:rsidR="00BA5921" w:rsidRPr="003B4C44" w:rsidRDefault="00BA5921" w:rsidP="00BA5921">
      <w:pPr>
        <w:spacing w:after="0" w:line="360" w:lineRule="auto"/>
        <w:jc w:val="center"/>
        <w:rPr>
          <w:b/>
          <w:sz w:val="28"/>
          <w:szCs w:val="28"/>
        </w:rPr>
      </w:pPr>
      <w:r w:rsidRPr="003B4C44">
        <w:rPr>
          <w:b/>
          <w:sz w:val="28"/>
          <w:szCs w:val="28"/>
        </w:rPr>
        <w:t>Patrocinante in Cassazione</w:t>
      </w:r>
    </w:p>
    <w:p w:rsidR="00BA5921" w:rsidRPr="003B4C44" w:rsidRDefault="00EE1356" w:rsidP="00BA5921">
      <w:pPr>
        <w:spacing w:after="0" w:line="360" w:lineRule="auto"/>
        <w:jc w:val="center"/>
        <w:rPr>
          <w:b/>
          <w:bCs/>
          <w:sz w:val="28"/>
          <w:szCs w:val="28"/>
        </w:rPr>
      </w:pPr>
      <w:hyperlink r:id="rId16" w:history="1">
        <w:r w:rsidR="00BA5921" w:rsidRPr="003B4C44">
          <w:rPr>
            <w:color w:val="0563C1"/>
            <w:sz w:val="28"/>
            <w:szCs w:val="28"/>
            <w:u w:val="single"/>
          </w:rPr>
          <w:t>www.studiotributariovillani.it</w:t>
        </w:r>
      </w:hyperlink>
      <w:r w:rsidR="00BA5921" w:rsidRPr="003B4C44">
        <w:rPr>
          <w:b/>
          <w:bCs/>
          <w:sz w:val="28"/>
          <w:szCs w:val="28"/>
        </w:rPr>
        <w:t xml:space="preserve"> - e-mail </w:t>
      </w:r>
      <w:hyperlink r:id="rId17" w:history="1">
        <w:r w:rsidR="00BA5921" w:rsidRPr="003B4C44">
          <w:rPr>
            <w:color w:val="0563C1"/>
            <w:sz w:val="28"/>
            <w:szCs w:val="28"/>
            <w:u w:val="single"/>
          </w:rPr>
          <w:t>avvocato@studiotributariovillani.it</w:t>
        </w:r>
      </w:hyperlink>
    </w:p>
    <w:p w:rsidR="00BA5921" w:rsidRPr="003B4C44" w:rsidRDefault="00BA5921" w:rsidP="00BA5921">
      <w:pPr>
        <w:autoSpaceDE w:val="0"/>
        <w:spacing w:after="0" w:line="360" w:lineRule="auto"/>
        <w:ind w:left="4956"/>
        <w:jc w:val="both"/>
        <w:rPr>
          <w:rFonts w:ascii="Times New Roman" w:hAnsi="Times New Roman"/>
          <w:color w:val="FF0000"/>
          <w:sz w:val="28"/>
          <w:szCs w:val="28"/>
        </w:rPr>
      </w:pPr>
    </w:p>
    <w:p w:rsidR="00BA5921" w:rsidRPr="00BB3731" w:rsidRDefault="00BA5921" w:rsidP="00BA5921">
      <w:pPr>
        <w:spacing w:after="0" w:line="360" w:lineRule="auto"/>
        <w:jc w:val="both"/>
        <w:rPr>
          <w:rFonts w:ascii="Times New Roman" w:eastAsia="Times New Roman" w:hAnsi="Times New Roman"/>
          <w:sz w:val="24"/>
          <w:szCs w:val="24"/>
          <w:lang w:eastAsia="it-IT"/>
        </w:rPr>
      </w:pPr>
    </w:p>
    <w:p w:rsidR="00BA5921" w:rsidRPr="00D1202D" w:rsidRDefault="00BA5921" w:rsidP="00D1202D">
      <w:pPr>
        <w:spacing w:after="0" w:line="360" w:lineRule="auto"/>
        <w:jc w:val="both"/>
        <w:rPr>
          <w:rFonts w:ascii="Times New Roman" w:eastAsia="Times New Roman" w:hAnsi="Times New Roman" w:cs="Times New Roman"/>
          <w:sz w:val="24"/>
          <w:szCs w:val="24"/>
          <w:lang w:eastAsia="it-IT"/>
        </w:rPr>
      </w:pPr>
    </w:p>
    <w:p w:rsidR="00244B7C" w:rsidRPr="00244B7C" w:rsidRDefault="00244B7C" w:rsidP="00040CBE">
      <w:pPr>
        <w:spacing w:after="0" w:line="360" w:lineRule="auto"/>
        <w:jc w:val="both"/>
        <w:rPr>
          <w:rFonts w:ascii="Times New Roman" w:eastAsia="Times New Roman" w:hAnsi="Times New Roman" w:cs="Times New Roman"/>
          <w:sz w:val="24"/>
          <w:szCs w:val="24"/>
          <w:lang w:eastAsia="it-IT"/>
        </w:rPr>
      </w:pPr>
    </w:p>
    <w:p w:rsidR="00AC65B7" w:rsidRPr="008C0C04" w:rsidRDefault="00AC65B7" w:rsidP="00040CBE">
      <w:pPr>
        <w:spacing w:after="0" w:line="360" w:lineRule="auto"/>
        <w:jc w:val="both"/>
        <w:rPr>
          <w:rFonts w:ascii="Times New Roman" w:eastAsia="Times New Roman" w:hAnsi="Times New Roman" w:cs="Times New Roman"/>
          <w:b/>
          <w:i/>
          <w:sz w:val="24"/>
          <w:szCs w:val="24"/>
          <w:lang w:eastAsia="it-IT"/>
        </w:rPr>
      </w:pPr>
    </w:p>
    <w:p w:rsidR="00040CBE" w:rsidRDefault="00040CBE" w:rsidP="00040CBE">
      <w:pPr>
        <w:spacing w:after="0" w:line="360" w:lineRule="auto"/>
        <w:jc w:val="both"/>
        <w:rPr>
          <w:rFonts w:ascii="Times New Roman" w:eastAsia="Times New Roman" w:hAnsi="Times New Roman" w:cs="Times New Roman"/>
          <w:sz w:val="24"/>
          <w:szCs w:val="24"/>
          <w:lang w:eastAsia="it-IT"/>
        </w:rPr>
      </w:pPr>
    </w:p>
    <w:p w:rsidR="00040CBE" w:rsidRPr="00760295" w:rsidRDefault="00040CBE" w:rsidP="00040CBE">
      <w:pPr>
        <w:spacing w:line="360" w:lineRule="auto"/>
        <w:jc w:val="both"/>
        <w:rPr>
          <w:rFonts w:ascii="Times New Roman" w:eastAsia="Times New Roman" w:hAnsi="Times New Roman" w:cs="Times New Roman"/>
          <w:sz w:val="24"/>
          <w:szCs w:val="24"/>
          <w:lang w:eastAsia="it-IT"/>
        </w:rPr>
      </w:pPr>
    </w:p>
    <w:p w:rsidR="00760295" w:rsidRDefault="00760295" w:rsidP="00040CBE">
      <w:pPr>
        <w:spacing w:line="360" w:lineRule="auto"/>
        <w:jc w:val="both"/>
      </w:pPr>
    </w:p>
    <w:sectPr w:rsidR="00760295" w:rsidSect="00BC01C3">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56" w:rsidRDefault="00EE1356" w:rsidP="00BA5921">
      <w:pPr>
        <w:spacing w:after="0" w:line="240" w:lineRule="auto"/>
      </w:pPr>
      <w:r>
        <w:separator/>
      </w:r>
    </w:p>
  </w:endnote>
  <w:endnote w:type="continuationSeparator" w:id="0">
    <w:p w:rsidR="00EE1356" w:rsidRDefault="00EE1356" w:rsidP="00BA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254"/>
      <w:docPartObj>
        <w:docPartGallery w:val="Page Numbers (Bottom of Page)"/>
        <w:docPartUnique/>
      </w:docPartObj>
    </w:sdtPr>
    <w:sdtEndPr/>
    <w:sdtContent>
      <w:p w:rsidR="00BA5921" w:rsidRDefault="00A603AA">
        <w:pPr>
          <w:pStyle w:val="Pidipagina"/>
          <w:jc w:val="center"/>
        </w:pPr>
        <w:r>
          <w:rPr>
            <w:noProof/>
          </w:rPr>
          <w:fldChar w:fldCharType="begin"/>
        </w:r>
        <w:r>
          <w:rPr>
            <w:noProof/>
          </w:rPr>
          <w:instrText xml:space="preserve"> PAGE   \* MERGEFORMAT </w:instrText>
        </w:r>
        <w:r>
          <w:rPr>
            <w:noProof/>
          </w:rPr>
          <w:fldChar w:fldCharType="separate"/>
        </w:r>
        <w:r w:rsidR="00A70BFB">
          <w:rPr>
            <w:noProof/>
          </w:rPr>
          <w:t>6</w:t>
        </w:r>
        <w:r>
          <w:rPr>
            <w:noProof/>
          </w:rPr>
          <w:fldChar w:fldCharType="end"/>
        </w:r>
      </w:p>
    </w:sdtContent>
  </w:sdt>
  <w:p w:rsidR="00BA5921" w:rsidRDefault="00BA59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56" w:rsidRDefault="00EE1356" w:rsidP="00BA5921">
      <w:pPr>
        <w:spacing w:after="0" w:line="240" w:lineRule="auto"/>
      </w:pPr>
      <w:r>
        <w:separator/>
      </w:r>
    </w:p>
  </w:footnote>
  <w:footnote w:type="continuationSeparator" w:id="0">
    <w:p w:rsidR="00EE1356" w:rsidRDefault="00EE1356" w:rsidP="00BA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A25"/>
    <w:multiLevelType w:val="hybridMultilevel"/>
    <w:tmpl w:val="D1F8D5EC"/>
    <w:lvl w:ilvl="0" w:tplc="0C3216D2">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B9262AC"/>
    <w:multiLevelType w:val="hybridMultilevel"/>
    <w:tmpl w:val="D632B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F54623"/>
    <w:multiLevelType w:val="hybridMultilevel"/>
    <w:tmpl w:val="CF7C5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95"/>
    <w:rsid w:val="000148AB"/>
    <w:rsid w:val="00040CBE"/>
    <w:rsid w:val="00050372"/>
    <w:rsid w:val="000D067A"/>
    <w:rsid w:val="000F4618"/>
    <w:rsid w:val="00186A0B"/>
    <w:rsid w:val="0020633B"/>
    <w:rsid w:val="00244B7C"/>
    <w:rsid w:val="00324536"/>
    <w:rsid w:val="003407CC"/>
    <w:rsid w:val="003E078D"/>
    <w:rsid w:val="0045524A"/>
    <w:rsid w:val="004B47E0"/>
    <w:rsid w:val="0052082C"/>
    <w:rsid w:val="00535737"/>
    <w:rsid w:val="00744AEB"/>
    <w:rsid w:val="00760295"/>
    <w:rsid w:val="00763BAC"/>
    <w:rsid w:val="0077363E"/>
    <w:rsid w:val="00773794"/>
    <w:rsid w:val="00785C91"/>
    <w:rsid w:val="007B00DB"/>
    <w:rsid w:val="007D3DDB"/>
    <w:rsid w:val="00801ADC"/>
    <w:rsid w:val="00853FB0"/>
    <w:rsid w:val="0089552D"/>
    <w:rsid w:val="008B1E94"/>
    <w:rsid w:val="008C0C04"/>
    <w:rsid w:val="008D233F"/>
    <w:rsid w:val="008D3989"/>
    <w:rsid w:val="008F4C41"/>
    <w:rsid w:val="00985960"/>
    <w:rsid w:val="00A24B26"/>
    <w:rsid w:val="00A603AA"/>
    <w:rsid w:val="00A7025F"/>
    <w:rsid w:val="00A70BFB"/>
    <w:rsid w:val="00AB0C55"/>
    <w:rsid w:val="00AB7275"/>
    <w:rsid w:val="00AC65B7"/>
    <w:rsid w:val="00B85E32"/>
    <w:rsid w:val="00BA5921"/>
    <w:rsid w:val="00BC01C3"/>
    <w:rsid w:val="00C24FF5"/>
    <w:rsid w:val="00C522AC"/>
    <w:rsid w:val="00C72241"/>
    <w:rsid w:val="00C92629"/>
    <w:rsid w:val="00CD5E95"/>
    <w:rsid w:val="00D1202D"/>
    <w:rsid w:val="00DB31AD"/>
    <w:rsid w:val="00DC08C6"/>
    <w:rsid w:val="00DD357C"/>
    <w:rsid w:val="00DE3111"/>
    <w:rsid w:val="00E12C03"/>
    <w:rsid w:val="00E337F3"/>
    <w:rsid w:val="00E46D65"/>
    <w:rsid w:val="00EB575F"/>
    <w:rsid w:val="00EB7FD8"/>
    <w:rsid w:val="00EE1356"/>
    <w:rsid w:val="00F13C5C"/>
    <w:rsid w:val="00F32493"/>
    <w:rsid w:val="00F40B87"/>
    <w:rsid w:val="00F55344"/>
    <w:rsid w:val="00F74959"/>
    <w:rsid w:val="00FC3E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DBF69-5B3E-4D2A-8899-5BF8A96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02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E078D"/>
    <w:rPr>
      <w:color w:val="0000FF"/>
      <w:u w:val="single"/>
    </w:rPr>
  </w:style>
  <w:style w:type="character" w:customStyle="1" w:styleId="wordsearch1">
    <w:name w:val="wordsearch1"/>
    <w:basedOn w:val="Carpredefinitoparagrafo"/>
    <w:rsid w:val="00785C91"/>
    <w:rPr>
      <w:b/>
      <w:bCs/>
      <w:shd w:val="clear" w:color="auto" w:fill="FFFF00"/>
    </w:rPr>
  </w:style>
  <w:style w:type="paragraph" w:styleId="Paragrafoelenco">
    <w:name w:val="List Paragraph"/>
    <w:basedOn w:val="Normale"/>
    <w:uiPriority w:val="34"/>
    <w:qFormat/>
    <w:rsid w:val="00D1202D"/>
    <w:pPr>
      <w:ind w:left="720"/>
      <w:contextualSpacing/>
    </w:pPr>
  </w:style>
  <w:style w:type="paragraph" w:styleId="Intestazione">
    <w:name w:val="header"/>
    <w:basedOn w:val="Normale"/>
    <w:link w:val="IntestazioneCarattere"/>
    <w:uiPriority w:val="99"/>
    <w:semiHidden/>
    <w:unhideWhenUsed/>
    <w:rsid w:val="00BA59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5921"/>
  </w:style>
  <w:style w:type="paragraph" w:styleId="Pidipagina">
    <w:name w:val="footer"/>
    <w:basedOn w:val="Normale"/>
    <w:link w:val="PidipaginaCarattere"/>
    <w:uiPriority w:val="99"/>
    <w:unhideWhenUsed/>
    <w:rsid w:val="00BA59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6591377;1" TargetMode="External"/><Relationship Id="rId13" Type="http://schemas.openxmlformats.org/officeDocument/2006/relationships/hyperlink" Target="id:22747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d:11336815;1" TargetMode="External"/><Relationship Id="rId17" Type="http://schemas.openxmlformats.org/officeDocument/2006/relationships/hyperlink" Target="mailto:avvocato@studiotributariovillani.it" TargetMode="External"/><Relationship Id="rId2" Type="http://schemas.openxmlformats.org/officeDocument/2006/relationships/numbering" Target="numbering.xml"/><Relationship Id="rId16" Type="http://schemas.openxmlformats.org/officeDocument/2006/relationships/hyperlink" Target="http://www.studiotributariovillan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p:3811;1" TargetMode="External"/><Relationship Id="rId5" Type="http://schemas.openxmlformats.org/officeDocument/2006/relationships/webSettings" Target="webSettings.xml"/><Relationship Id="rId15" Type="http://schemas.openxmlformats.org/officeDocument/2006/relationships/hyperlink" Target="id:5915;1" TargetMode="External"/><Relationship Id="rId10" Type="http://schemas.openxmlformats.org/officeDocument/2006/relationships/hyperlink" Target="id:50366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idp:119771;1" TargetMode="External"/><Relationship Id="rId14" Type="http://schemas.openxmlformats.org/officeDocument/2006/relationships/hyperlink" Target="idp:1238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B8A5-504A-4056-A49C-AEAD2EBC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cp:lastPrinted>2018-11-23T10:43:00Z</cp:lastPrinted>
  <dcterms:created xsi:type="dcterms:W3CDTF">2018-11-26T16:48:00Z</dcterms:created>
  <dcterms:modified xsi:type="dcterms:W3CDTF">2018-11-26T16:48:00Z</dcterms:modified>
</cp:coreProperties>
</file>