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AC" w:rsidRDefault="0006040D" w:rsidP="009A0B80">
      <w:pPr>
        <w:jc w:val="both"/>
        <w:rPr>
          <w:rFonts w:ascii="Times New Roman" w:hAnsi="Times New Roman" w:cs="Times New Roman"/>
          <w:b/>
          <w:i/>
          <w:sz w:val="28"/>
          <w:szCs w:val="28"/>
        </w:rPr>
      </w:pPr>
      <w:bookmarkStart w:id="0" w:name="_GoBack"/>
      <w:bookmarkEnd w:id="0"/>
      <w:r w:rsidRPr="0006040D">
        <w:rPr>
          <w:rFonts w:ascii="Times New Roman" w:hAnsi="Times New Roman" w:cs="Times New Roman"/>
          <w:b/>
          <w:i/>
          <w:sz w:val="28"/>
          <w:szCs w:val="28"/>
        </w:rPr>
        <w:t>La Suprema Corte sulla plusvalenza derivante dalla cessione dei</w:t>
      </w:r>
      <w:r w:rsidR="00A708BD">
        <w:rPr>
          <w:rFonts w:ascii="Times New Roman" w:hAnsi="Times New Roman" w:cs="Times New Roman"/>
          <w:b/>
          <w:i/>
          <w:sz w:val="28"/>
          <w:szCs w:val="28"/>
        </w:rPr>
        <w:t xml:space="preserve"> calciatori</w:t>
      </w:r>
      <w:r w:rsidRPr="0006040D">
        <w:rPr>
          <w:rFonts w:ascii="Times New Roman" w:hAnsi="Times New Roman" w:cs="Times New Roman"/>
          <w:b/>
          <w:i/>
          <w:sz w:val="28"/>
          <w:szCs w:val="28"/>
        </w:rPr>
        <w:t>: è provento ordinario</w:t>
      </w:r>
    </w:p>
    <w:p w:rsidR="0011416F" w:rsidRDefault="0011416F" w:rsidP="009A0B80">
      <w:pPr>
        <w:jc w:val="both"/>
        <w:rPr>
          <w:rFonts w:ascii="Times New Roman" w:hAnsi="Times New Roman" w:cs="Times New Roman"/>
          <w:b/>
          <w:i/>
          <w:sz w:val="28"/>
          <w:szCs w:val="28"/>
        </w:rPr>
      </w:pPr>
    </w:p>
    <w:p w:rsidR="00DC53F2" w:rsidRDefault="00DC53F2" w:rsidP="00DC53F2">
      <w:pPr>
        <w:jc w:val="both"/>
        <w:rPr>
          <w:rFonts w:ascii="Times New Roman" w:hAnsi="Times New Roman" w:cs="Times New Roman"/>
          <w:b/>
          <w:sz w:val="24"/>
          <w:szCs w:val="24"/>
        </w:rPr>
      </w:pPr>
      <w:r>
        <w:rPr>
          <w:rFonts w:ascii="Times New Roman" w:hAnsi="Times New Roman" w:cs="Times New Roman"/>
          <w:b/>
          <w:sz w:val="24"/>
          <w:szCs w:val="24"/>
        </w:rPr>
        <w:t>1.</w:t>
      </w:r>
      <w:r w:rsidRPr="0006040D">
        <w:rPr>
          <w:rFonts w:ascii="Times New Roman" w:hAnsi="Times New Roman" w:cs="Times New Roman"/>
          <w:b/>
          <w:sz w:val="24"/>
          <w:szCs w:val="24"/>
        </w:rPr>
        <w:t>Il principio di diritto</w:t>
      </w:r>
    </w:p>
    <w:p w:rsidR="00DC53F2" w:rsidRDefault="00DC53F2" w:rsidP="00DC53F2">
      <w:pPr>
        <w:spacing w:after="0" w:line="360" w:lineRule="auto"/>
        <w:jc w:val="both"/>
        <w:rPr>
          <w:rFonts w:ascii="Times New Roman" w:hAnsi="Times New Roman" w:cs="Times New Roman"/>
          <w:b/>
          <w:sz w:val="24"/>
          <w:szCs w:val="24"/>
        </w:rPr>
      </w:pPr>
      <w:r w:rsidRPr="009A0B80">
        <w:rPr>
          <w:rFonts w:ascii="Times New Roman" w:hAnsi="Times New Roman" w:cs="Times New Roman"/>
          <w:b/>
          <w:sz w:val="24"/>
          <w:szCs w:val="24"/>
        </w:rPr>
        <w:t>2.</w:t>
      </w:r>
      <w:r>
        <w:rPr>
          <w:rFonts w:ascii="Times New Roman" w:hAnsi="Times New Roman" w:cs="Times New Roman"/>
          <w:b/>
          <w:sz w:val="24"/>
          <w:szCs w:val="24"/>
        </w:rPr>
        <w:t>Il caso</w:t>
      </w:r>
    </w:p>
    <w:p w:rsidR="00DC53F2" w:rsidRDefault="00DC53F2" w:rsidP="00DC53F2">
      <w:pPr>
        <w:spacing w:after="0" w:line="360" w:lineRule="auto"/>
        <w:jc w:val="both"/>
        <w:rPr>
          <w:rFonts w:ascii="Times New Roman" w:hAnsi="Times New Roman" w:cs="Times New Roman"/>
          <w:b/>
          <w:sz w:val="24"/>
          <w:szCs w:val="24"/>
        </w:rPr>
      </w:pPr>
      <w:r w:rsidRPr="003A21EB">
        <w:rPr>
          <w:rFonts w:ascii="Times New Roman" w:hAnsi="Times New Roman" w:cs="Times New Roman"/>
          <w:b/>
          <w:sz w:val="24"/>
          <w:szCs w:val="24"/>
        </w:rPr>
        <w:t>3.</w:t>
      </w:r>
      <w:r>
        <w:rPr>
          <w:rFonts w:ascii="Times New Roman" w:hAnsi="Times New Roman" w:cs="Times New Roman"/>
          <w:b/>
          <w:sz w:val="24"/>
          <w:szCs w:val="24"/>
        </w:rPr>
        <w:t>I p</w:t>
      </w:r>
      <w:r w:rsidRPr="003A21EB">
        <w:rPr>
          <w:rFonts w:ascii="Times New Roman" w:hAnsi="Times New Roman" w:cs="Times New Roman"/>
          <w:b/>
          <w:sz w:val="24"/>
          <w:szCs w:val="24"/>
        </w:rPr>
        <w:t>recedenti giurisprudenziali</w:t>
      </w:r>
    </w:p>
    <w:p w:rsidR="00DC53F2" w:rsidRDefault="00DC53F2" w:rsidP="00DC53F2">
      <w:pPr>
        <w:spacing w:after="0" w:line="360" w:lineRule="auto"/>
        <w:jc w:val="both"/>
        <w:rPr>
          <w:rFonts w:ascii="Times New Roman" w:hAnsi="Times New Roman" w:cs="Times New Roman"/>
          <w:b/>
          <w:sz w:val="24"/>
          <w:szCs w:val="24"/>
        </w:rPr>
      </w:pPr>
      <w:r w:rsidRPr="00503516">
        <w:rPr>
          <w:rFonts w:ascii="Times New Roman" w:hAnsi="Times New Roman" w:cs="Times New Roman"/>
          <w:b/>
          <w:sz w:val="24"/>
          <w:szCs w:val="24"/>
        </w:rPr>
        <w:t>4.</w:t>
      </w:r>
      <w:r>
        <w:rPr>
          <w:rFonts w:ascii="Times New Roman" w:hAnsi="Times New Roman" w:cs="Times New Roman"/>
          <w:b/>
          <w:sz w:val="24"/>
          <w:szCs w:val="24"/>
        </w:rPr>
        <w:t>La m</w:t>
      </w:r>
      <w:r w:rsidRPr="00503516">
        <w:rPr>
          <w:rFonts w:ascii="Times New Roman" w:hAnsi="Times New Roman" w:cs="Times New Roman"/>
          <w:b/>
          <w:sz w:val="24"/>
          <w:szCs w:val="24"/>
        </w:rPr>
        <w:t>otivazione delle ordinanze (</w:t>
      </w:r>
      <w:r>
        <w:rPr>
          <w:rFonts w:ascii="Times New Roman" w:hAnsi="Times New Roman" w:cs="Times New Roman"/>
          <w:b/>
          <w:sz w:val="24"/>
          <w:szCs w:val="24"/>
        </w:rPr>
        <w:t>Cass.</w:t>
      </w:r>
      <w:r w:rsidRPr="00503516">
        <w:rPr>
          <w:rFonts w:ascii="Times New Roman" w:hAnsi="Times New Roman" w:cs="Times New Roman"/>
          <w:b/>
          <w:sz w:val="24"/>
          <w:szCs w:val="24"/>
        </w:rPr>
        <w:t>nn.2144, 2145, 2146 del</w:t>
      </w:r>
      <w:r w:rsidR="00636E42">
        <w:rPr>
          <w:rFonts w:ascii="Times New Roman" w:hAnsi="Times New Roman" w:cs="Times New Roman"/>
          <w:b/>
          <w:sz w:val="24"/>
          <w:szCs w:val="24"/>
        </w:rPr>
        <w:t xml:space="preserve"> 12 luglio 2018</w:t>
      </w:r>
      <w:r w:rsidRPr="00503516">
        <w:rPr>
          <w:rFonts w:ascii="Times New Roman" w:hAnsi="Times New Roman" w:cs="Times New Roman"/>
          <w:b/>
          <w:sz w:val="24"/>
          <w:szCs w:val="24"/>
        </w:rPr>
        <w:t>)</w:t>
      </w:r>
    </w:p>
    <w:p w:rsidR="00DC53F2" w:rsidRDefault="00DC53F2" w:rsidP="00DC53F2">
      <w:pPr>
        <w:spacing w:after="0" w:line="360" w:lineRule="auto"/>
        <w:jc w:val="both"/>
        <w:rPr>
          <w:rFonts w:ascii="Times New Roman" w:hAnsi="Times New Roman" w:cs="Times New Roman"/>
          <w:b/>
          <w:sz w:val="24"/>
          <w:szCs w:val="24"/>
        </w:rPr>
      </w:pPr>
    </w:p>
    <w:p w:rsidR="00DC53F2" w:rsidRDefault="00DC53F2" w:rsidP="00DC53F2">
      <w:pPr>
        <w:jc w:val="both"/>
        <w:rPr>
          <w:rFonts w:ascii="Times New Roman" w:hAnsi="Times New Roman" w:cs="Times New Roman"/>
          <w:b/>
          <w:sz w:val="24"/>
          <w:szCs w:val="24"/>
        </w:rPr>
      </w:pPr>
    </w:p>
    <w:p w:rsidR="00DC53F2" w:rsidRDefault="00DC53F2" w:rsidP="009A0B80">
      <w:pPr>
        <w:jc w:val="both"/>
        <w:rPr>
          <w:rFonts w:ascii="Times New Roman" w:hAnsi="Times New Roman" w:cs="Times New Roman"/>
          <w:b/>
          <w:i/>
          <w:sz w:val="28"/>
          <w:szCs w:val="28"/>
        </w:rPr>
      </w:pPr>
    </w:p>
    <w:p w:rsidR="009D7634" w:rsidRDefault="009D7634" w:rsidP="0006040D">
      <w:pPr>
        <w:jc w:val="both"/>
        <w:rPr>
          <w:rFonts w:ascii="Times New Roman" w:hAnsi="Times New Roman" w:cs="Times New Roman"/>
          <w:b/>
          <w:sz w:val="24"/>
          <w:szCs w:val="24"/>
        </w:rPr>
      </w:pPr>
    </w:p>
    <w:p w:rsidR="009D7634" w:rsidRDefault="009D7634" w:rsidP="0006040D">
      <w:pPr>
        <w:jc w:val="both"/>
        <w:rPr>
          <w:rFonts w:ascii="Times New Roman" w:hAnsi="Times New Roman" w:cs="Times New Roman"/>
          <w:b/>
          <w:sz w:val="24"/>
          <w:szCs w:val="24"/>
        </w:rPr>
      </w:pPr>
    </w:p>
    <w:p w:rsidR="0006040D" w:rsidRDefault="009A0B80" w:rsidP="0006040D">
      <w:pPr>
        <w:jc w:val="both"/>
        <w:rPr>
          <w:rFonts w:ascii="Times New Roman" w:hAnsi="Times New Roman" w:cs="Times New Roman"/>
          <w:b/>
          <w:sz w:val="24"/>
          <w:szCs w:val="24"/>
        </w:rPr>
      </w:pPr>
      <w:r>
        <w:rPr>
          <w:rFonts w:ascii="Times New Roman" w:hAnsi="Times New Roman" w:cs="Times New Roman"/>
          <w:b/>
          <w:sz w:val="24"/>
          <w:szCs w:val="24"/>
        </w:rPr>
        <w:t>1.</w:t>
      </w:r>
      <w:r w:rsidR="0006040D" w:rsidRPr="0006040D">
        <w:rPr>
          <w:rFonts w:ascii="Times New Roman" w:hAnsi="Times New Roman" w:cs="Times New Roman"/>
          <w:b/>
          <w:sz w:val="24"/>
          <w:szCs w:val="24"/>
        </w:rPr>
        <w:t>Il principio di diritto</w:t>
      </w:r>
    </w:p>
    <w:p w:rsidR="0006040D" w:rsidRDefault="00F27EB4" w:rsidP="009A0B80">
      <w:pPr>
        <w:spacing w:after="0" w:line="360" w:lineRule="auto"/>
        <w:jc w:val="both"/>
        <w:rPr>
          <w:rFonts w:ascii="Times New Roman" w:hAnsi="Times New Roman" w:cs="Times New Roman"/>
          <w:sz w:val="24"/>
          <w:szCs w:val="24"/>
        </w:rPr>
      </w:pPr>
      <w:r w:rsidRPr="00F27EB4">
        <w:rPr>
          <w:rFonts w:ascii="Times New Roman" w:hAnsi="Times New Roman" w:cs="Times New Roman"/>
          <w:sz w:val="24"/>
          <w:szCs w:val="24"/>
        </w:rPr>
        <w:t xml:space="preserve">La Corte di Cassazione nelle </w:t>
      </w:r>
      <w:bookmarkStart w:id="1" w:name="_Hlk360163"/>
      <w:r w:rsidRPr="003A6FB1">
        <w:rPr>
          <w:rFonts w:ascii="Times New Roman" w:hAnsi="Times New Roman" w:cs="Times New Roman"/>
          <w:b/>
          <w:sz w:val="24"/>
          <w:szCs w:val="24"/>
        </w:rPr>
        <w:t>ordinanze nn.2144, 2145, 2146</w:t>
      </w:r>
      <w:r w:rsidR="00DC53F2">
        <w:rPr>
          <w:rFonts w:ascii="Times New Roman" w:hAnsi="Times New Roman" w:cs="Times New Roman"/>
          <w:sz w:val="24"/>
          <w:szCs w:val="24"/>
        </w:rPr>
        <w:t>, decise il 12 luglio 2018 e</w:t>
      </w:r>
      <w:r w:rsidR="003A6FB1">
        <w:rPr>
          <w:rFonts w:ascii="Times New Roman" w:hAnsi="Times New Roman" w:cs="Times New Roman"/>
          <w:sz w:val="24"/>
          <w:szCs w:val="24"/>
        </w:rPr>
        <w:t xml:space="preserve"> depositate il</w:t>
      </w:r>
      <w:r w:rsidRPr="00F27EB4">
        <w:rPr>
          <w:rFonts w:ascii="Times New Roman" w:hAnsi="Times New Roman" w:cs="Times New Roman"/>
          <w:sz w:val="24"/>
          <w:szCs w:val="24"/>
        </w:rPr>
        <w:t xml:space="preserve"> </w:t>
      </w:r>
      <w:bookmarkEnd w:id="1"/>
      <w:r w:rsidR="003A6FB1" w:rsidRPr="003A6FB1">
        <w:rPr>
          <w:rFonts w:ascii="Times New Roman" w:hAnsi="Times New Roman" w:cs="Times New Roman"/>
          <w:b/>
          <w:sz w:val="24"/>
          <w:szCs w:val="24"/>
        </w:rPr>
        <w:t>25 gennaio 2019</w:t>
      </w:r>
      <w:r w:rsidR="00DC53F2">
        <w:rPr>
          <w:rFonts w:ascii="Times New Roman" w:hAnsi="Times New Roman" w:cs="Times New Roman"/>
          <w:b/>
          <w:sz w:val="24"/>
          <w:szCs w:val="24"/>
        </w:rPr>
        <w:t>,</w:t>
      </w:r>
      <w:r w:rsidR="003A6FB1" w:rsidRPr="003A6FB1">
        <w:rPr>
          <w:rFonts w:ascii="Times New Roman" w:hAnsi="Times New Roman" w:cs="Times New Roman"/>
          <w:b/>
          <w:sz w:val="24"/>
          <w:szCs w:val="24"/>
        </w:rPr>
        <w:t xml:space="preserve"> </w:t>
      </w:r>
      <w:r>
        <w:rPr>
          <w:rFonts w:ascii="Times New Roman" w:hAnsi="Times New Roman" w:cs="Times New Roman"/>
          <w:sz w:val="24"/>
          <w:szCs w:val="24"/>
        </w:rPr>
        <w:t>ha affermato che,</w:t>
      </w:r>
      <w:r w:rsidR="00636E42">
        <w:rPr>
          <w:rFonts w:ascii="Times New Roman" w:hAnsi="Times New Roman" w:cs="Times New Roman"/>
          <w:sz w:val="24"/>
          <w:szCs w:val="24"/>
        </w:rPr>
        <w:t xml:space="preserve"> nel caso</w:t>
      </w:r>
      <w:r w:rsidR="00E91028" w:rsidRPr="00E91028">
        <w:rPr>
          <w:rFonts w:ascii="Times New Roman" w:hAnsi="Times New Roman" w:cs="Times New Roman"/>
          <w:sz w:val="24"/>
          <w:szCs w:val="24"/>
        </w:rPr>
        <w:t xml:space="preserve"> </w:t>
      </w:r>
      <w:r>
        <w:rPr>
          <w:rFonts w:ascii="Times New Roman" w:hAnsi="Times New Roman" w:cs="Times New Roman"/>
          <w:sz w:val="24"/>
          <w:szCs w:val="24"/>
        </w:rPr>
        <w:t>di trasferimento di un calciatore, non si verte in tema di plusvalenze “straordinarie</w:t>
      </w:r>
      <w:r w:rsidR="00914500">
        <w:rPr>
          <w:rFonts w:ascii="Times New Roman" w:hAnsi="Times New Roman" w:cs="Times New Roman"/>
          <w:sz w:val="24"/>
          <w:szCs w:val="24"/>
        </w:rPr>
        <w:t>”</w:t>
      </w:r>
      <w:r>
        <w:rPr>
          <w:rFonts w:ascii="Times New Roman" w:hAnsi="Times New Roman" w:cs="Times New Roman"/>
          <w:sz w:val="24"/>
          <w:szCs w:val="24"/>
        </w:rPr>
        <w:t xml:space="preserve"> ma di plusvalenze che derivano dalla gestione “ordinaria” della società sportiva, che si</w:t>
      </w:r>
      <w:r w:rsidR="0069626C">
        <w:rPr>
          <w:rFonts w:ascii="Times New Roman" w:hAnsi="Times New Roman" w:cs="Times New Roman"/>
          <w:sz w:val="24"/>
          <w:szCs w:val="24"/>
        </w:rPr>
        <w:t xml:space="preserve"> realizza </w:t>
      </w:r>
      <w:r w:rsidR="009A0B80">
        <w:rPr>
          <w:rFonts w:ascii="Times New Roman" w:hAnsi="Times New Roman" w:cs="Times New Roman"/>
          <w:sz w:val="24"/>
          <w:szCs w:val="24"/>
        </w:rPr>
        <w:t xml:space="preserve">anche con la cessione dei contratti </w:t>
      </w:r>
      <w:r w:rsidR="00FD4F1C">
        <w:rPr>
          <w:rFonts w:ascii="Times New Roman" w:hAnsi="Times New Roman" w:cs="Times New Roman"/>
          <w:sz w:val="24"/>
          <w:szCs w:val="24"/>
        </w:rPr>
        <w:t xml:space="preserve">a </w:t>
      </w:r>
      <w:r w:rsidR="009A0B80">
        <w:rPr>
          <w:rFonts w:ascii="Times New Roman" w:hAnsi="Times New Roman" w:cs="Times New Roman"/>
          <w:sz w:val="24"/>
          <w:szCs w:val="24"/>
        </w:rPr>
        <w:t>prestazioni corrispettive.</w:t>
      </w:r>
    </w:p>
    <w:p w:rsidR="00F27EB4" w:rsidRDefault="00F27EB4"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Infatti,</w:t>
      </w:r>
      <w:r w:rsidR="009A0B80">
        <w:rPr>
          <w:rFonts w:ascii="Times New Roman" w:hAnsi="Times New Roman" w:cs="Times New Roman"/>
          <w:sz w:val="24"/>
          <w:szCs w:val="24"/>
        </w:rPr>
        <w:t xml:space="preserve"> il trasferimento di un calciatore è un atto che rientra nella gestione di una squadra di calcio, rappresentando un evento collegato all’attività ordinaria della società sportiva; per tale motivo, le plusvalenze derivanti dall’alienazione delle immobilizzazioni, quando la cessione del bene costituisce un evento ordinario della gestione dell’impresa, fanno parte dei proventi e oneri d</w:t>
      </w:r>
      <w:r w:rsidR="00DC53F2">
        <w:rPr>
          <w:rFonts w:ascii="Times New Roman" w:hAnsi="Times New Roman" w:cs="Times New Roman"/>
          <w:sz w:val="24"/>
          <w:szCs w:val="24"/>
        </w:rPr>
        <w:t>e</w:t>
      </w:r>
      <w:r w:rsidR="009A0B80">
        <w:rPr>
          <w:rFonts w:ascii="Times New Roman" w:hAnsi="Times New Roman" w:cs="Times New Roman"/>
          <w:sz w:val="24"/>
          <w:szCs w:val="24"/>
        </w:rPr>
        <w:t>lla gestione “ordinaria” accessoria.</w:t>
      </w:r>
    </w:p>
    <w:p w:rsidR="009D7634" w:rsidRDefault="009D7634" w:rsidP="009A0B80">
      <w:pPr>
        <w:spacing w:after="0" w:line="360" w:lineRule="auto"/>
        <w:jc w:val="both"/>
        <w:rPr>
          <w:rFonts w:ascii="Times New Roman" w:hAnsi="Times New Roman" w:cs="Times New Roman"/>
          <w:b/>
          <w:sz w:val="24"/>
          <w:szCs w:val="24"/>
        </w:rPr>
      </w:pPr>
    </w:p>
    <w:p w:rsidR="009A0B80" w:rsidRDefault="009A0B80" w:rsidP="009A0B80">
      <w:pPr>
        <w:spacing w:after="0" w:line="360" w:lineRule="auto"/>
        <w:jc w:val="both"/>
        <w:rPr>
          <w:rFonts w:ascii="Times New Roman" w:hAnsi="Times New Roman" w:cs="Times New Roman"/>
          <w:b/>
          <w:sz w:val="24"/>
          <w:szCs w:val="24"/>
        </w:rPr>
      </w:pPr>
      <w:r w:rsidRPr="009A0B80">
        <w:rPr>
          <w:rFonts w:ascii="Times New Roman" w:hAnsi="Times New Roman" w:cs="Times New Roman"/>
          <w:b/>
          <w:sz w:val="24"/>
          <w:szCs w:val="24"/>
        </w:rPr>
        <w:t>2.</w:t>
      </w:r>
      <w:r>
        <w:rPr>
          <w:rFonts w:ascii="Times New Roman" w:hAnsi="Times New Roman" w:cs="Times New Roman"/>
          <w:b/>
          <w:sz w:val="24"/>
          <w:szCs w:val="24"/>
        </w:rPr>
        <w:t>Il caso</w:t>
      </w:r>
    </w:p>
    <w:p w:rsidR="009A0B80" w:rsidRDefault="009A0B80" w:rsidP="009A0B80">
      <w:pPr>
        <w:spacing w:after="0" w:line="360" w:lineRule="auto"/>
        <w:jc w:val="both"/>
        <w:rPr>
          <w:rFonts w:ascii="Times New Roman" w:hAnsi="Times New Roman" w:cs="Times New Roman"/>
          <w:sz w:val="24"/>
          <w:szCs w:val="24"/>
        </w:rPr>
      </w:pPr>
      <w:r w:rsidRPr="009A0B80">
        <w:rPr>
          <w:rFonts w:ascii="Times New Roman" w:hAnsi="Times New Roman" w:cs="Times New Roman"/>
          <w:sz w:val="24"/>
          <w:szCs w:val="24"/>
        </w:rPr>
        <w:t>L’</w:t>
      </w:r>
      <w:r>
        <w:rPr>
          <w:rFonts w:ascii="Times New Roman" w:hAnsi="Times New Roman" w:cs="Times New Roman"/>
          <w:sz w:val="24"/>
          <w:szCs w:val="24"/>
        </w:rPr>
        <w:t>Agenzia delle Entrate emetteva avvisi di accertamento per gli anni 2001, 2002 e 2003 nei confronti di una società sportiva Alfa, rettificando il valore ai fini IRAP, elevandolo a €</w:t>
      </w:r>
      <w:r w:rsidR="000E194C">
        <w:rPr>
          <w:rFonts w:ascii="Times New Roman" w:hAnsi="Times New Roman" w:cs="Times New Roman"/>
          <w:sz w:val="24"/>
          <w:szCs w:val="24"/>
        </w:rPr>
        <w:t>…</w:t>
      </w:r>
      <w:r>
        <w:rPr>
          <w:rFonts w:ascii="Times New Roman" w:hAnsi="Times New Roman" w:cs="Times New Roman"/>
          <w:sz w:val="24"/>
          <w:szCs w:val="24"/>
        </w:rPr>
        <w:t xml:space="preserve"> e riprendendo a tassazione plusvalenze non dichiarate per €</w:t>
      </w:r>
      <w:r w:rsidR="000E194C">
        <w:rPr>
          <w:rFonts w:ascii="Times New Roman" w:hAnsi="Times New Roman" w:cs="Times New Roman"/>
          <w:sz w:val="24"/>
          <w:szCs w:val="24"/>
        </w:rPr>
        <w:t>…</w:t>
      </w:r>
      <w:r>
        <w:rPr>
          <w:rFonts w:ascii="Times New Roman" w:hAnsi="Times New Roman" w:cs="Times New Roman"/>
          <w:sz w:val="24"/>
          <w:szCs w:val="24"/>
        </w:rPr>
        <w:t xml:space="preserve">, ed accertando </w:t>
      </w:r>
      <w:r w:rsidR="004C47EC">
        <w:rPr>
          <w:rFonts w:ascii="Times New Roman" w:hAnsi="Times New Roman" w:cs="Times New Roman"/>
          <w:sz w:val="24"/>
          <w:szCs w:val="24"/>
        </w:rPr>
        <w:t>ai fini IRPEG e IRAP, la esposizione in dichiarazione di minusvalenze non deducibili per €…</w:t>
      </w:r>
    </w:p>
    <w:p w:rsidR="004C47EC" w:rsidRDefault="004C47EC"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società Alfa proponeva ricorso nel quale dava definizione al concetto di plusvalenza, affermando che </w:t>
      </w:r>
      <w:r w:rsidR="000E194C">
        <w:rPr>
          <w:rFonts w:ascii="Times New Roman" w:hAnsi="Times New Roman" w:cs="Times New Roman"/>
          <w:sz w:val="24"/>
          <w:szCs w:val="24"/>
        </w:rPr>
        <w:t xml:space="preserve">questa </w:t>
      </w:r>
      <w:r>
        <w:rPr>
          <w:rFonts w:ascii="Times New Roman" w:hAnsi="Times New Roman" w:cs="Times New Roman"/>
          <w:sz w:val="24"/>
          <w:szCs w:val="24"/>
        </w:rPr>
        <w:t>deriva dalla cessione dei contratti relativi alle prestazioni sportive dei calciatori della società,</w:t>
      </w:r>
      <w:r w:rsidR="00914500">
        <w:rPr>
          <w:rFonts w:ascii="Times New Roman" w:hAnsi="Times New Roman" w:cs="Times New Roman"/>
          <w:sz w:val="24"/>
          <w:szCs w:val="24"/>
        </w:rPr>
        <w:t xml:space="preserve"> </w:t>
      </w:r>
      <w:r>
        <w:rPr>
          <w:rFonts w:ascii="Times New Roman" w:hAnsi="Times New Roman" w:cs="Times New Roman"/>
          <w:sz w:val="24"/>
          <w:szCs w:val="24"/>
        </w:rPr>
        <w:t>costituenti oggetto della gestione ordinaria delle società sportive, con recupero dell’imponibile  ai fini IRAP, ai sensi dell’art. 11 comma</w:t>
      </w:r>
      <w:r w:rsidR="00AA7BAD">
        <w:rPr>
          <w:rFonts w:ascii="Times New Roman" w:hAnsi="Times New Roman" w:cs="Times New Roman"/>
          <w:sz w:val="24"/>
          <w:szCs w:val="24"/>
        </w:rPr>
        <w:t xml:space="preserve"> 3</w:t>
      </w:r>
      <w:r w:rsidR="00A90064">
        <w:rPr>
          <w:rFonts w:ascii="Times New Roman" w:hAnsi="Times New Roman" w:cs="Times New Roman"/>
          <w:sz w:val="24"/>
          <w:szCs w:val="24"/>
        </w:rPr>
        <w:t xml:space="preserve"> del </w:t>
      </w:r>
      <w:proofErr w:type="spellStart"/>
      <w:r w:rsidR="00A90064">
        <w:rPr>
          <w:rFonts w:ascii="Times New Roman" w:hAnsi="Times New Roman" w:cs="Times New Roman"/>
          <w:sz w:val="24"/>
          <w:szCs w:val="24"/>
        </w:rPr>
        <w:t>D.lgs</w:t>
      </w:r>
      <w:proofErr w:type="spellEnd"/>
      <w:r w:rsidR="00A90064">
        <w:rPr>
          <w:rFonts w:ascii="Times New Roman" w:hAnsi="Times New Roman" w:cs="Times New Roman"/>
          <w:sz w:val="24"/>
          <w:szCs w:val="24"/>
        </w:rPr>
        <w:t xml:space="preserve"> n.446 del 1997, poiché non si </w:t>
      </w:r>
      <w:r w:rsidR="00A90064">
        <w:rPr>
          <w:rFonts w:ascii="Times New Roman" w:hAnsi="Times New Roman" w:cs="Times New Roman"/>
          <w:sz w:val="24"/>
          <w:szCs w:val="24"/>
        </w:rPr>
        <w:lastRenderedPageBreak/>
        <w:t>può condividere  la contabilizzazione in bilancio nella voce conto economico E 20 tra i proventi e gli oneri straordinari.</w:t>
      </w:r>
    </w:p>
    <w:p w:rsidR="00A90064" w:rsidRDefault="00A90064"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caso di specie si configura, invece, l’ipotesi di cessione del contratto avente a oggetto il diritto alla prestazione esclusiva del calciatore per la durata del contratto.</w:t>
      </w:r>
    </w:p>
    <w:p w:rsidR="00A90064" w:rsidRDefault="00A90064"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CTP accoglieva il ricorso.</w:t>
      </w:r>
    </w:p>
    <w:p w:rsidR="00A90064" w:rsidRDefault="00A90064"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Invece, successivamente, la CTR accoglieva l’appello proposto </w:t>
      </w:r>
      <w:proofErr w:type="spellStart"/>
      <w:r>
        <w:rPr>
          <w:rFonts w:ascii="Times New Roman" w:hAnsi="Times New Roman" w:cs="Times New Roman"/>
          <w:sz w:val="24"/>
          <w:szCs w:val="24"/>
        </w:rPr>
        <w:t>dall’AdE</w:t>
      </w:r>
      <w:proofErr w:type="spellEnd"/>
      <w:r>
        <w:rPr>
          <w:rFonts w:ascii="Times New Roman" w:hAnsi="Times New Roman" w:cs="Times New Roman"/>
          <w:sz w:val="24"/>
          <w:szCs w:val="24"/>
        </w:rPr>
        <w:t xml:space="preserve"> in relazione alle plusvalenze, in quanto il contratto tra le due società sportive aveva a oggetto il diritto all’utilizzo esclusivo della prestazione sportiva del calciatore; tale diritto era qualificato come immobilizzazione immateriale, iscritto nell’attivo dello stato patrimoniale, quale bene ammortizzabile.</w:t>
      </w:r>
    </w:p>
    <w:p w:rsidR="00636E42" w:rsidRDefault="00636E42"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converso, la CTR</w:t>
      </w:r>
      <w:r w:rsidR="00914500">
        <w:rPr>
          <w:rFonts w:ascii="Times New Roman" w:hAnsi="Times New Roman" w:cs="Times New Roman"/>
          <w:sz w:val="24"/>
          <w:szCs w:val="24"/>
        </w:rPr>
        <w:t xml:space="preserve"> </w:t>
      </w:r>
      <w:r>
        <w:rPr>
          <w:rFonts w:ascii="Times New Roman" w:hAnsi="Times New Roman" w:cs="Times New Roman"/>
          <w:sz w:val="24"/>
          <w:szCs w:val="24"/>
        </w:rPr>
        <w:t>rigettava l’impugnazione relativa alle minusvalenze</w:t>
      </w:r>
      <w:r w:rsidR="00676112">
        <w:rPr>
          <w:rFonts w:ascii="Times New Roman" w:hAnsi="Times New Roman" w:cs="Times New Roman"/>
          <w:sz w:val="24"/>
          <w:szCs w:val="24"/>
        </w:rPr>
        <w:t xml:space="preserve"> poiché vi era stato, a ogni modo, un contratto a titolo oneroso poiché la cessionaria, seppur non corrispondeva nulla alla cedente, era onerata degli oneri per il compenso dell’atleta a carico della cedente, che se ne liberava.</w:t>
      </w:r>
    </w:p>
    <w:p w:rsidR="00A90064" w:rsidRDefault="00A90064" w:rsidP="009A0B8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L’AdE</w:t>
      </w:r>
      <w:proofErr w:type="spellEnd"/>
      <w:r>
        <w:rPr>
          <w:rFonts w:ascii="Times New Roman" w:hAnsi="Times New Roman" w:cs="Times New Roman"/>
          <w:sz w:val="24"/>
          <w:szCs w:val="24"/>
        </w:rPr>
        <w:t xml:space="preserve"> proponeva ricorso per Cassazione al quale resisteva la società Alfa con controricorso e, nel contempo, proponendo ricorso incidentale.</w:t>
      </w:r>
    </w:p>
    <w:p w:rsidR="00A90064" w:rsidRDefault="00A90064" w:rsidP="009A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particolare, si esamina il motivo del ricorso incidentale della società Alfa con il quale questa deduceva che nel caso </w:t>
      </w:r>
      <w:r w:rsidRPr="00676112">
        <w:rPr>
          <w:rFonts w:ascii="Times New Roman" w:hAnsi="Times New Roman" w:cs="Times New Roman"/>
          <w:i/>
          <w:sz w:val="24"/>
          <w:szCs w:val="24"/>
        </w:rPr>
        <w:t>de quo</w:t>
      </w:r>
      <w:r>
        <w:rPr>
          <w:rFonts w:ascii="Times New Roman" w:hAnsi="Times New Roman" w:cs="Times New Roman"/>
          <w:sz w:val="24"/>
          <w:szCs w:val="24"/>
        </w:rPr>
        <w:t xml:space="preserve"> </w:t>
      </w:r>
      <w:r w:rsidR="00464B8E">
        <w:rPr>
          <w:rFonts w:ascii="Times New Roman" w:hAnsi="Times New Roman" w:cs="Times New Roman"/>
          <w:sz w:val="24"/>
          <w:szCs w:val="24"/>
        </w:rPr>
        <w:t>non vi è stato il trasferimento di un bene o diritto reale, idoneo a ingenerare plusvalenza, né la cessione di un autonomo diritto di esclusiva.</w:t>
      </w:r>
    </w:p>
    <w:p w:rsidR="00464B8E" w:rsidRPr="000E194C" w:rsidRDefault="00464B8E" w:rsidP="009A0B8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Sul punto la </w:t>
      </w:r>
      <w:r w:rsidR="00407911">
        <w:rPr>
          <w:rFonts w:ascii="Times New Roman" w:hAnsi="Times New Roman" w:cs="Times New Roman"/>
          <w:sz w:val="24"/>
          <w:szCs w:val="24"/>
        </w:rPr>
        <w:t>s</w:t>
      </w:r>
      <w:r>
        <w:rPr>
          <w:rFonts w:ascii="Times New Roman" w:hAnsi="Times New Roman" w:cs="Times New Roman"/>
          <w:sz w:val="24"/>
          <w:szCs w:val="24"/>
        </w:rPr>
        <w:t xml:space="preserve">ocietà Alfa, </w:t>
      </w:r>
      <w:r w:rsidR="00E8061C">
        <w:rPr>
          <w:rFonts w:ascii="Times New Roman" w:hAnsi="Times New Roman" w:cs="Times New Roman"/>
          <w:sz w:val="24"/>
          <w:szCs w:val="24"/>
        </w:rPr>
        <w:t xml:space="preserve">ha </w:t>
      </w:r>
      <w:r>
        <w:rPr>
          <w:rFonts w:ascii="Times New Roman" w:hAnsi="Times New Roman" w:cs="Times New Roman"/>
          <w:sz w:val="24"/>
          <w:szCs w:val="24"/>
        </w:rPr>
        <w:t>sottolinea</w:t>
      </w:r>
      <w:r w:rsidR="00E8061C">
        <w:rPr>
          <w:rFonts w:ascii="Times New Roman" w:hAnsi="Times New Roman" w:cs="Times New Roman"/>
          <w:sz w:val="24"/>
          <w:szCs w:val="24"/>
        </w:rPr>
        <w:t>to</w:t>
      </w:r>
      <w:r>
        <w:rPr>
          <w:rFonts w:ascii="Times New Roman" w:hAnsi="Times New Roman" w:cs="Times New Roman"/>
          <w:sz w:val="24"/>
          <w:szCs w:val="24"/>
        </w:rPr>
        <w:t xml:space="preserve"> </w:t>
      </w:r>
      <w:r w:rsidRPr="000E194C">
        <w:rPr>
          <w:rFonts w:ascii="Times New Roman" w:hAnsi="Times New Roman" w:cs="Times New Roman"/>
          <w:color w:val="000000" w:themeColor="text1"/>
          <w:sz w:val="24"/>
          <w:szCs w:val="24"/>
        </w:rPr>
        <w:t>che</w:t>
      </w:r>
      <w:r w:rsidR="000E194C" w:rsidRPr="000E194C">
        <w:rPr>
          <w:rFonts w:ascii="Times New Roman" w:hAnsi="Times New Roman" w:cs="Times New Roman"/>
          <w:color w:val="000000" w:themeColor="text1"/>
          <w:sz w:val="24"/>
          <w:szCs w:val="24"/>
        </w:rPr>
        <w:t xml:space="preserve"> nel caso di specie non vi è stato un trasferimento di un bene o diritto reale, atto a ingenerare plusvalenza, né la cessione di un autonomo diritto di esclusiva, che attiene alla </w:t>
      </w:r>
      <w:r w:rsidRPr="000E194C">
        <w:rPr>
          <w:rFonts w:ascii="Times New Roman" w:hAnsi="Times New Roman" w:cs="Times New Roman"/>
          <w:color w:val="000000" w:themeColor="text1"/>
          <w:sz w:val="24"/>
          <w:szCs w:val="24"/>
        </w:rPr>
        <w:t>gestione “ordinaria” delle società sportive.</w:t>
      </w:r>
    </w:p>
    <w:p w:rsidR="009D7634" w:rsidRDefault="009D7634" w:rsidP="009A0B80">
      <w:pPr>
        <w:spacing w:after="0" w:line="360" w:lineRule="auto"/>
        <w:jc w:val="both"/>
        <w:rPr>
          <w:rFonts w:ascii="Times New Roman" w:hAnsi="Times New Roman" w:cs="Times New Roman"/>
          <w:b/>
          <w:sz w:val="24"/>
          <w:szCs w:val="24"/>
        </w:rPr>
      </w:pPr>
    </w:p>
    <w:p w:rsidR="003A21EB" w:rsidRDefault="003A21EB" w:rsidP="009A0B80">
      <w:pPr>
        <w:spacing w:after="0" w:line="360" w:lineRule="auto"/>
        <w:jc w:val="both"/>
        <w:rPr>
          <w:rFonts w:ascii="Times New Roman" w:hAnsi="Times New Roman" w:cs="Times New Roman"/>
          <w:b/>
          <w:sz w:val="24"/>
          <w:szCs w:val="24"/>
        </w:rPr>
      </w:pPr>
      <w:r w:rsidRPr="003A21EB">
        <w:rPr>
          <w:rFonts w:ascii="Times New Roman" w:hAnsi="Times New Roman" w:cs="Times New Roman"/>
          <w:b/>
          <w:sz w:val="24"/>
          <w:szCs w:val="24"/>
        </w:rPr>
        <w:t>3.</w:t>
      </w:r>
      <w:r w:rsidR="00DC53F2">
        <w:rPr>
          <w:rFonts w:ascii="Times New Roman" w:hAnsi="Times New Roman" w:cs="Times New Roman"/>
          <w:b/>
          <w:sz w:val="24"/>
          <w:szCs w:val="24"/>
        </w:rPr>
        <w:t>I p</w:t>
      </w:r>
      <w:r w:rsidRPr="003A21EB">
        <w:rPr>
          <w:rFonts w:ascii="Times New Roman" w:hAnsi="Times New Roman" w:cs="Times New Roman"/>
          <w:b/>
          <w:sz w:val="24"/>
          <w:szCs w:val="24"/>
        </w:rPr>
        <w:t>recedenti giurisprudenziali</w:t>
      </w:r>
    </w:p>
    <w:p w:rsidR="003A21EB" w:rsidRDefault="003A21EB" w:rsidP="009A0B80">
      <w:pPr>
        <w:spacing w:after="0" w:line="360" w:lineRule="auto"/>
        <w:jc w:val="both"/>
        <w:rPr>
          <w:rFonts w:ascii="Times New Roman" w:hAnsi="Times New Roman" w:cs="Times New Roman"/>
          <w:sz w:val="24"/>
          <w:szCs w:val="24"/>
        </w:rPr>
      </w:pPr>
      <w:r w:rsidRPr="003A21EB">
        <w:rPr>
          <w:rFonts w:ascii="Times New Roman" w:hAnsi="Times New Roman" w:cs="Times New Roman"/>
          <w:sz w:val="24"/>
          <w:szCs w:val="24"/>
        </w:rPr>
        <w:t>L’orientamento</w:t>
      </w:r>
      <w:r>
        <w:rPr>
          <w:rFonts w:ascii="Times New Roman" w:hAnsi="Times New Roman" w:cs="Times New Roman"/>
          <w:sz w:val="24"/>
          <w:szCs w:val="24"/>
        </w:rPr>
        <w:t xml:space="preserve"> prevalente della recente giurisprudenza di merito, in linea con l’unico intervento della Cassazione in materia</w:t>
      </w:r>
      <w:r w:rsidR="004F5D1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E8061C">
        <w:rPr>
          <w:rFonts w:ascii="Times New Roman" w:hAnsi="Times New Roman" w:cs="Times New Roman"/>
          <w:b/>
          <w:sz w:val="24"/>
          <w:szCs w:val="24"/>
        </w:rPr>
        <w:t>Cass.n</w:t>
      </w:r>
      <w:proofErr w:type="spellEnd"/>
      <w:r w:rsidRPr="00E8061C">
        <w:rPr>
          <w:rFonts w:ascii="Times New Roman" w:hAnsi="Times New Roman" w:cs="Times New Roman"/>
          <w:b/>
          <w:sz w:val="24"/>
          <w:szCs w:val="24"/>
        </w:rPr>
        <w:t>.</w:t>
      </w:r>
      <w:r w:rsidRPr="00E8061C">
        <w:rPr>
          <w:rFonts w:ascii="Verdana" w:eastAsia="Times New Roman" w:hAnsi="Verdana" w:cs="Times New Roman"/>
          <w:b/>
          <w:color w:val="333333"/>
          <w:sz w:val="18"/>
          <w:szCs w:val="18"/>
          <w:lang w:eastAsia="it-IT"/>
        </w:rPr>
        <w:t xml:space="preserve"> </w:t>
      </w:r>
      <w:r w:rsidRPr="00E8061C">
        <w:rPr>
          <w:rFonts w:ascii="Times New Roman" w:hAnsi="Times New Roman" w:cs="Times New Roman"/>
          <w:b/>
          <w:sz w:val="24"/>
          <w:szCs w:val="24"/>
        </w:rPr>
        <w:t>3545/2004</w:t>
      </w:r>
      <w:r>
        <w:rPr>
          <w:rFonts w:ascii="Times New Roman" w:hAnsi="Times New Roman" w:cs="Times New Roman"/>
          <w:sz w:val="24"/>
          <w:szCs w:val="24"/>
        </w:rPr>
        <w:t>), ha statuito che in riferimento al</w:t>
      </w:r>
      <w:r w:rsidRPr="00197022">
        <w:rPr>
          <w:rFonts w:ascii="Times New Roman" w:hAnsi="Times New Roman" w:cs="Times New Roman"/>
          <w:sz w:val="24"/>
          <w:szCs w:val="24"/>
        </w:rPr>
        <w:t>l’attività imprenditoriale d</w:t>
      </w:r>
      <w:r w:rsidR="00407911">
        <w:rPr>
          <w:rFonts w:ascii="Times New Roman" w:hAnsi="Times New Roman" w:cs="Times New Roman"/>
          <w:sz w:val="24"/>
          <w:szCs w:val="24"/>
        </w:rPr>
        <w:t>’</w:t>
      </w:r>
      <w:r w:rsidRPr="00197022">
        <w:rPr>
          <w:rFonts w:ascii="Times New Roman" w:hAnsi="Times New Roman" w:cs="Times New Roman"/>
          <w:sz w:val="24"/>
          <w:szCs w:val="24"/>
        </w:rPr>
        <w:t xml:space="preserve"> intrattenimento sportivo</w:t>
      </w:r>
      <w:r>
        <w:rPr>
          <w:rFonts w:ascii="Times New Roman" w:hAnsi="Times New Roman" w:cs="Times New Roman"/>
          <w:sz w:val="24"/>
          <w:szCs w:val="24"/>
        </w:rPr>
        <w:t xml:space="preserve"> esercitata da una società, che</w:t>
      </w:r>
      <w:r w:rsidRPr="00197022">
        <w:rPr>
          <w:rFonts w:ascii="Times New Roman" w:hAnsi="Times New Roman" w:cs="Times New Roman"/>
          <w:sz w:val="24"/>
          <w:szCs w:val="24"/>
        </w:rPr>
        <w:t xml:space="preserve"> si avvale della prestazione dei </w:t>
      </w:r>
      <w:r w:rsidRPr="00197022">
        <w:rPr>
          <w:rFonts w:ascii="Times New Roman" w:hAnsi="Times New Roman" w:cs="Times New Roman"/>
          <w:b/>
          <w:bCs/>
          <w:sz w:val="24"/>
          <w:szCs w:val="24"/>
        </w:rPr>
        <w:t>calciatori</w:t>
      </w:r>
      <w:r>
        <w:rPr>
          <w:rFonts w:ascii="Times New Roman" w:hAnsi="Times New Roman" w:cs="Times New Roman"/>
          <w:sz w:val="24"/>
          <w:szCs w:val="24"/>
        </w:rPr>
        <w:t>, t</w:t>
      </w:r>
      <w:r w:rsidRPr="00197022">
        <w:rPr>
          <w:rFonts w:ascii="Times New Roman" w:hAnsi="Times New Roman" w:cs="Times New Roman"/>
          <w:sz w:val="24"/>
          <w:szCs w:val="24"/>
        </w:rPr>
        <w:t xml:space="preserve">ale diritto è un </w:t>
      </w:r>
      <w:r w:rsidRPr="00E8061C">
        <w:rPr>
          <w:rFonts w:ascii="Times New Roman" w:hAnsi="Times New Roman" w:cs="Times New Roman"/>
          <w:b/>
          <w:sz w:val="24"/>
          <w:szCs w:val="24"/>
        </w:rPr>
        <w:t>bene immateriale strumentale</w:t>
      </w:r>
      <w:r w:rsidRPr="00197022">
        <w:rPr>
          <w:rFonts w:ascii="Times New Roman" w:hAnsi="Times New Roman" w:cs="Times New Roman"/>
          <w:sz w:val="24"/>
          <w:szCs w:val="24"/>
        </w:rPr>
        <w:t xml:space="preserve"> e</w:t>
      </w:r>
      <w:r>
        <w:rPr>
          <w:rFonts w:ascii="Times New Roman" w:hAnsi="Times New Roman" w:cs="Times New Roman"/>
          <w:sz w:val="24"/>
          <w:szCs w:val="24"/>
        </w:rPr>
        <w:t>, pertanto,</w:t>
      </w:r>
      <w:r w:rsidRPr="00197022">
        <w:rPr>
          <w:rFonts w:ascii="Times New Roman" w:hAnsi="Times New Roman" w:cs="Times New Roman"/>
          <w:sz w:val="24"/>
          <w:szCs w:val="24"/>
        </w:rPr>
        <w:t xml:space="preserve"> il compenso che deriva dalla sua </w:t>
      </w:r>
      <w:r w:rsidRPr="00197022">
        <w:rPr>
          <w:rFonts w:ascii="Times New Roman" w:hAnsi="Times New Roman" w:cs="Times New Roman"/>
          <w:b/>
          <w:bCs/>
          <w:sz w:val="24"/>
          <w:szCs w:val="24"/>
        </w:rPr>
        <w:t>cessione</w:t>
      </w:r>
      <w:r w:rsidRPr="00197022">
        <w:rPr>
          <w:rFonts w:ascii="Times New Roman" w:hAnsi="Times New Roman" w:cs="Times New Roman"/>
          <w:sz w:val="24"/>
          <w:szCs w:val="24"/>
        </w:rPr>
        <w:t> genera </w:t>
      </w:r>
      <w:r w:rsidRPr="00197022">
        <w:rPr>
          <w:rFonts w:ascii="Times New Roman" w:hAnsi="Times New Roman" w:cs="Times New Roman"/>
          <w:b/>
          <w:bCs/>
          <w:sz w:val="24"/>
          <w:szCs w:val="24"/>
        </w:rPr>
        <w:t>plusvalenza</w:t>
      </w:r>
      <w:r w:rsidRPr="00197022">
        <w:rPr>
          <w:rFonts w:ascii="Times New Roman" w:hAnsi="Times New Roman" w:cs="Times New Roman"/>
          <w:sz w:val="24"/>
          <w:szCs w:val="24"/>
        </w:rPr>
        <w:t> o minusvalenza, classificabili tra i componenti ordinari di reddito.</w:t>
      </w:r>
    </w:p>
    <w:p w:rsidR="00201D36" w:rsidRDefault="003A21EB" w:rsidP="00201D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Ciò posto, premesso che u</w:t>
      </w:r>
      <w:r w:rsidRPr="00197022">
        <w:rPr>
          <w:rFonts w:ascii="Times New Roman" w:hAnsi="Times New Roman" w:cs="Times New Roman"/>
          <w:sz w:val="24"/>
          <w:szCs w:val="24"/>
        </w:rPr>
        <w:t>n’operazione di calciomercato consiste nella </w:t>
      </w:r>
      <w:r w:rsidRPr="00197022">
        <w:rPr>
          <w:rFonts w:ascii="Times New Roman" w:hAnsi="Times New Roman" w:cs="Times New Roman"/>
          <w:b/>
          <w:bCs/>
          <w:sz w:val="24"/>
          <w:szCs w:val="24"/>
        </w:rPr>
        <w:t>cessione</w:t>
      </w:r>
      <w:r w:rsidRPr="00197022">
        <w:rPr>
          <w:rFonts w:ascii="Times New Roman" w:hAnsi="Times New Roman" w:cs="Times New Roman"/>
          <w:sz w:val="24"/>
          <w:szCs w:val="24"/>
        </w:rPr>
        <w:t> del contratto stipulato da una società sportiva con un calciatore a un’altra</w:t>
      </w:r>
      <w:r w:rsidR="00E8061C">
        <w:rPr>
          <w:rFonts w:ascii="Times New Roman" w:hAnsi="Times New Roman" w:cs="Times New Roman"/>
          <w:sz w:val="24"/>
          <w:szCs w:val="24"/>
        </w:rPr>
        <w:t>,</w:t>
      </w:r>
      <w:r w:rsidRPr="00197022">
        <w:rPr>
          <w:rFonts w:ascii="Times New Roman" w:hAnsi="Times New Roman" w:cs="Times New Roman"/>
          <w:sz w:val="24"/>
          <w:szCs w:val="24"/>
        </w:rPr>
        <w:t xml:space="preserve"> nell’osservanza delle modalità fissate dalle federazioni</w:t>
      </w:r>
      <w:r w:rsidR="00E8061C">
        <w:rPr>
          <w:rFonts w:ascii="Times New Roman" w:hAnsi="Times New Roman" w:cs="Times New Roman"/>
          <w:sz w:val="24"/>
          <w:szCs w:val="24"/>
        </w:rPr>
        <w:t>,</w:t>
      </w:r>
      <w:r w:rsidR="00201D36">
        <w:rPr>
          <w:rFonts w:ascii="Times New Roman" w:hAnsi="Times New Roman" w:cs="Times New Roman"/>
          <w:sz w:val="24"/>
          <w:szCs w:val="24"/>
        </w:rPr>
        <w:t xml:space="preserve"> e che l</w:t>
      </w:r>
      <w:r w:rsidR="00201D36" w:rsidRPr="00197022">
        <w:rPr>
          <w:rFonts w:ascii="Times New Roman" w:hAnsi="Times New Roman" w:cs="Times New Roman"/>
          <w:sz w:val="24"/>
          <w:szCs w:val="24"/>
        </w:rPr>
        <w:t>a somma pagata consente alla cessionaria di usufruire della prestazione esclusiva del calciatore</w:t>
      </w:r>
      <w:r w:rsidR="00201D36">
        <w:rPr>
          <w:rFonts w:ascii="Times New Roman" w:hAnsi="Times New Roman" w:cs="Times New Roman"/>
          <w:sz w:val="24"/>
          <w:szCs w:val="24"/>
        </w:rPr>
        <w:t>, l’eventuale plusvalenza realizzata sul diritto alla prestazione esclusiva dell’atleta è relativa a un bene strumentale e, quin</w:t>
      </w:r>
      <w:r w:rsidR="00E8061C">
        <w:rPr>
          <w:rFonts w:ascii="Times New Roman" w:hAnsi="Times New Roman" w:cs="Times New Roman"/>
          <w:sz w:val="24"/>
          <w:szCs w:val="24"/>
        </w:rPr>
        <w:t>d</w:t>
      </w:r>
      <w:r w:rsidR="00201D36">
        <w:rPr>
          <w:rFonts w:ascii="Times New Roman" w:hAnsi="Times New Roman" w:cs="Times New Roman"/>
          <w:sz w:val="24"/>
          <w:szCs w:val="24"/>
        </w:rPr>
        <w:t>i, componente ordinaria di reddito assoggettabile a tassazione IRAP</w:t>
      </w:r>
      <w:r w:rsidR="00E8061C">
        <w:rPr>
          <w:rFonts w:ascii="Times New Roman" w:hAnsi="Times New Roman" w:cs="Times New Roman"/>
          <w:sz w:val="24"/>
          <w:szCs w:val="24"/>
        </w:rPr>
        <w:t xml:space="preserve"> </w:t>
      </w:r>
      <w:r w:rsidR="00201D36">
        <w:rPr>
          <w:rFonts w:ascii="Times New Roman" w:hAnsi="Times New Roman" w:cs="Times New Roman"/>
          <w:sz w:val="24"/>
          <w:szCs w:val="24"/>
        </w:rPr>
        <w:t>(</w:t>
      </w:r>
      <w:r w:rsidR="00201D36" w:rsidRPr="00E8061C">
        <w:rPr>
          <w:rFonts w:ascii="Times New Roman" w:hAnsi="Times New Roman" w:cs="Times New Roman"/>
          <w:b/>
          <w:sz w:val="24"/>
          <w:szCs w:val="24"/>
        </w:rPr>
        <w:t>C</w:t>
      </w:r>
      <w:r w:rsidR="00E8061C" w:rsidRPr="00E8061C">
        <w:rPr>
          <w:rFonts w:ascii="Times New Roman" w:hAnsi="Times New Roman" w:cs="Times New Roman"/>
          <w:b/>
          <w:sz w:val="24"/>
          <w:szCs w:val="24"/>
        </w:rPr>
        <w:t>TR</w:t>
      </w:r>
      <w:r w:rsidR="00201D36" w:rsidRPr="00E8061C">
        <w:rPr>
          <w:rFonts w:ascii="Times New Roman" w:hAnsi="Times New Roman" w:cs="Times New Roman"/>
          <w:b/>
          <w:sz w:val="24"/>
          <w:szCs w:val="24"/>
        </w:rPr>
        <w:t xml:space="preserve"> Lombardia 3625/45/2015</w:t>
      </w:r>
      <w:r w:rsidR="00201D36">
        <w:rPr>
          <w:rFonts w:ascii="Times New Roman" w:hAnsi="Times New Roman" w:cs="Times New Roman"/>
          <w:sz w:val="24"/>
          <w:szCs w:val="24"/>
        </w:rPr>
        <w:t>).</w:t>
      </w:r>
    </w:p>
    <w:p w:rsidR="00201D36" w:rsidRDefault="00201D36" w:rsidP="00201D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745CC9">
        <w:rPr>
          <w:rFonts w:ascii="Times New Roman" w:hAnsi="Times New Roman" w:cs="Times New Roman"/>
          <w:sz w:val="24"/>
          <w:szCs w:val="24"/>
        </w:rPr>
        <w:t xml:space="preserve">nfatti, </w:t>
      </w:r>
      <w:r>
        <w:rPr>
          <w:rFonts w:ascii="Times New Roman" w:hAnsi="Times New Roman" w:cs="Times New Roman"/>
          <w:sz w:val="24"/>
          <w:szCs w:val="24"/>
        </w:rPr>
        <w:t xml:space="preserve">la società cedente, </w:t>
      </w:r>
      <w:r w:rsidRPr="00745CC9">
        <w:rPr>
          <w:rFonts w:ascii="Times New Roman" w:hAnsi="Times New Roman" w:cs="Times New Roman"/>
          <w:sz w:val="24"/>
          <w:szCs w:val="24"/>
        </w:rPr>
        <w:t>rinunciando anzitempo al diritto esistente, in un’ottica imprenditoriale, usufruirà di un vantaggio analogamente a quanto avviene in occasione di una </w:t>
      </w:r>
      <w:r w:rsidRPr="00745CC9">
        <w:rPr>
          <w:rFonts w:ascii="Times New Roman" w:hAnsi="Times New Roman" w:cs="Times New Roman"/>
          <w:b/>
          <w:bCs/>
          <w:sz w:val="24"/>
          <w:szCs w:val="24"/>
        </w:rPr>
        <w:t>cessione</w:t>
      </w:r>
      <w:r w:rsidRPr="00745CC9">
        <w:rPr>
          <w:rFonts w:ascii="Times New Roman" w:hAnsi="Times New Roman" w:cs="Times New Roman"/>
          <w:sz w:val="24"/>
          <w:szCs w:val="24"/>
        </w:rPr>
        <w:t> di beni strumentali</w:t>
      </w:r>
      <w:r>
        <w:rPr>
          <w:rFonts w:ascii="Times New Roman" w:hAnsi="Times New Roman" w:cs="Times New Roman"/>
          <w:sz w:val="24"/>
          <w:szCs w:val="24"/>
        </w:rPr>
        <w:t>; r</w:t>
      </w:r>
      <w:r w:rsidRPr="00745CC9">
        <w:rPr>
          <w:rFonts w:ascii="Times New Roman" w:hAnsi="Times New Roman" w:cs="Times New Roman"/>
          <w:sz w:val="24"/>
          <w:szCs w:val="24"/>
        </w:rPr>
        <w:t>agionando diversamente</w:t>
      </w:r>
      <w:r>
        <w:rPr>
          <w:rFonts w:ascii="Times New Roman" w:hAnsi="Times New Roman" w:cs="Times New Roman"/>
          <w:sz w:val="24"/>
          <w:szCs w:val="24"/>
        </w:rPr>
        <w:t xml:space="preserve">, </w:t>
      </w:r>
      <w:r w:rsidRPr="00745CC9">
        <w:rPr>
          <w:rFonts w:ascii="Times New Roman" w:hAnsi="Times New Roman" w:cs="Times New Roman"/>
          <w:sz w:val="24"/>
          <w:szCs w:val="24"/>
        </w:rPr>
        <w:t>la fattispecie assumerebbe i connotati tipici dell’elusione fiscale. Per</w:t>
      </w:r>
      <w:r>
        <w:rPr>
          <w:rFonts w:ascii="Times New Roman" w:hAnsi="Times New Roman" w:cs="Times New Roman"/>
          <w:sz w:val="24"/>
          <w:szCs w:val="24"/>
        </w:rPr>
        <w:t>tanto</w:t>
      </w:r>
      <w:r w:rsidRPr="00745CC9">
        <w:rPr>
          <w:rFonts w:ascii="Times New Roman" w:hAnsi="Times New Roman" w:cs="Times New Roman"/>
          <w:sz w:val="24"/>
          <w:szCs w:val="24"/>
        </w:rPr>
        <w:t>, in</w:t>
      </w:r>
      <w:r>
        <w:rPr>
          <w:rFonts w:ascii="Times New Roman" w:hAnsi="Times New Roman" w:cs="Times New Roman"/>
          <w:sz w:val="24"/>
          <w:szCs w:val="24"/>
        </w:rPr>
        <w:t xml:space="preserve"> buona sostanza</w:t>
      </w:r>
      <w:r w:rsidRPr="00745CC9">
        <w:rPr>
          <w:rFonts w:ascii="Times New Roman" w:hAnsi="Times New Roman" w:cs="Times New Roman"/>
          <w:sz w:val="24"/>
          <w:szCs w:val="24"/>
        </w:rPr>
        <w:t>, l’operazione in esame non si potrebbe considerare straordinaria, distinta e in alcun modo ricollegabile al plusvalore derivante dalla </w:t>
      </w:r>
      <w:r w:rsidRPr="00745CC9">
        <w:rPr>
          <w:rFonts w:ascii="Times New Roman" w:hAnsi="Times New Roman" w:cs="Times New Roman"/>
          <w:b/>
          <w:bCs/>
          <w:sz w:val="24"/>
          <w:szCs w:val="24"/>
        </w:rPr>
        <w:t>cessione</w:t>
      </w:r>
      <w:r w:rsidRPr="00745CC9">
        <w:rPr>
          <w:rFonts w:ascii="Times New Roman" w:hAnsi="Times New Roman" w:cs="Times New Roman"/>
          <w:sz w:val="24"/>
          <w:szCs w:val="24"/>
        </w:rPr>
        <w:t> di beni strumentali</w:t>
      </w:r>
      <w:r w:rsidR="0065226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745CC9">
        <w:rPr>
          <w:rFonts w:ascii="Times New Roman" w:hAnsi="Times New Roman" w:cs="Times New Roman"/>
          <w:sz w:val="24"/>
          <w:szCs w:val="24"/>
        </w:rPr>
        <w:t xml:space="preserve"> </w:t>
      </w:r>
      <w:r w:rsidRPr="0065226D">
        <w:rPr>
          <w:rFonts w:ascii="Times New Roman" w:hAnsi="Times New Roman" w:cs="Times New Roman"/>
          <w:b/>
          <w:sz w:val="24"/>
          <w:szCs w:val="24"/>
        </w:rPr>
        <w:t>C</w:t>
      </w:r>
      <w:r w:rsidR="0065226D" w:rsidRPr="0065226D">
        <w:rPr>
          <w:rFonts w:ascii="Times New Roman" w:hAnsi="Times New Roman" w:cs="Times New Roman"/>
          <w:b/>
          <w:sz w:val="24"/>
          <w:szCs w:val="24"/>
        </w:rPr>
        <w:t>TR</w:t>
      </w:r>
      <w:proofErr w:type="gramEnd"/>
      <w:r w:rsidR="0065226D" w:rsidRPr="0065226D">
        <w:rPr>
          <w:rFonts w:ascii="Times New Roman" w:hAnsi="Times New Roman" w:cs="Times New Roman"/>
          <w:b/>
          <w:sz w:val="24"/>
          <w:szCs w:val="24"/>
        </w:rPr>
        <w:t xml:space="preserve"> </w:t>
      </w:r>
      <w:r w:rsidRPr="0065226D">
        <w:rPr>
          <w:rFonts w:ascii="Times New Roman" w:hAnsi="Times New Roman" w:cs="Times New Roman"/>
          <w:b/>
          <w:sz w:val="24"/>
          <w:szCs w:val="24"/>
        </w:rPr>
        <w:t xml:space="preserve">Piemonte </w:t>
      </w:r>
      <w:r w:rsidR="0065226D" w:rsidRPr="0065226D">
        <w:rPr>
          <w:rFonts w:ascii="Times New Roman" w:hAnsi="Times New Roman" w:cs="Times New Roman"/>
          <w:b/>
          <w:sz w:val="24"/>
          <w:szCs w:val="24"/>
        </w:rPr>
        <w:t xml:space="preserve">, </w:t>
      </w:r>
      <w:r w:rsidRPr="0065226D">
        <w:rPr>
          <w:rFonts w:ascii="Times New Roman" w:hAnsi="Times New Roman" w:cs="Times New Roman"/>
          <w:b/>
          <w:sz w:val="24"/>
          <w:szCs w:val="24"/>
        </w:rPr>
        <w:t>825/5/2017</w:t>
      </w:r>
      <w:r>
        <w:rPr>
          <w:rFonts w:ascii="Times New Roman" w:hAnsi="Times New Roman" w:cs="Times New Roman"/>
          <w:sz w:val="24"/>
          <w:szCs w:val="24"/>
        </w:rPr>
        <w:t>).</w:t>
      </w:r>
    </w:p>
    <w:p w:rsidR="00503516" w:rsidRDefault="00201D36" w:rsidP="00201D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diverso avviso,</w:t>
      </w:r>
      <w:r w:rsidR="00407911">
        <w:rPr>
          <w:rFonts w:ascii="Times New Roman" w:hAnsi="Times New Roman" w:cs="Times New Roman"/>
          <w:sz w:val="24"/>
          <w:szCs w:val="24"/>
        </w:rPr>
        <w:t xml:space="preserve"> </w:t>
      </w:r>
      <w:r w:rsidR="00271CE9">
        <w:rPr>
          <w:rFonts w:ascii="Times New Roman" w:hAnsi="Times New Roman" w:cs="Times New Roman"/>
          <w:sz w:val="24"/>
          <w:szCs w:val="24"/>
        </w:rPr>
        <w:t>la</w:t>
      </w:r>
      <w:r>
        <w:rPr>
          <w:rFonts w:ascii="Times New Roman" w:hAnsi="Times New Roman" w:cs="Times New Roman"/>
          <w:sz w:val="24"/>
          <w:szCs w:val="24"/>
        </w:rPr>
        <w:t xml:space="preserve"> </w:t>
      </w:r>
      <w:r w:rsidRPr="0065226D">
        <w:rPr>
          <w:rFonts w:ascii="Times New Roman" w:hAnsi="Times New Roman" w:cs="Times New Roman"/>
          <w:b/>
          <w:sz w:val="24"/>
          <w:szCs w:val="24"/>
        </w:rPr>
        <w:t>CTR Lazio</w:t>
      </w:r>
      <w:r w:rsidR="0065226D" w:rsidRPr="0065226D">
        <w:rPr>
          <w:rFonts w:ascii="Times New Roman" w:hAnsi="Times New Roman" w:cs="Times New Roman"/>
          <w:b/>
          <w:sz w:val="24"/>
          <w:szCs w:val="24"/>
        </w:rPr>
        <w:t xml:space="preserve"> </w:t>
      </w:r>
      <w:r w:rsidR="00503516" w:rsidRPr="0065226D">
        <w:rPr>
          <w:rFonts w:ascii="Times New Roman" w:hAnsi="Times New Roman" w:cs="Times New Roman"/>
          <w:b/>
          <w:sz w:val="24"/>
          <w:szCs w:val="24"/>
        </w:rPr>
        <w:t>(92/28/2012)</w:t>
      </w:r>
      <w:r w:rsidR="00503516">
        <w:rPr>
          <w:rFonts w:ascii="Times New Roman" w:hAnsi="Times New Roman" w:cs="Times New Roman"/>
          <w:sz w:val="24"/>
          <w:szCs w:val="24"/>
        </w:rPr>
        <w:t xml:space="preserve"> che </w:t>
      </w:r>
      <w:r w:rsidR="00407911">
        <w:rPr>
          <w:rFonts w:ascii="Times New Roman" w:hAnsi="Times New Roman" w:cs="Times New Roman"/>
          <w:sz w:val="24"/>
          <w:szCs w:val="24"/>
        </w:rPr>
        <w:t>ha sostenuto</w:t>
      </w:r>
      <w:r w:rsidR="00503516">
        <w:rPr>
          <w:rFonts w:ascii="Times New Roman" w:hAnsi="Times New Roman" w:cs="Times New Roman"/>
          <w:sz w:val="24"/>
          <w:szCs w:val="24"/>
        </w:rPr>
        <w:t xml:space="preserve">, invece, che </w:t>
      </w:r>
      <w:r w:rsidR="00503516" w:rsidRPr="00503516">
        <w:rPr>
          <w:rFonts w:ascii="Times New Roman" w:hAnsi="Times New Roman" w:cs="Times New Roman"/>
          <w:sz w:val="24"/>
          <w:szCs w:val="24"/>
        </w:rPr>
        <w:t xml:space="preserve">la plusvalenza ottenuta dalla cessione del diritto di credito non può essere considerata proveniente da beni strumentali, in quanto il mezzo per consentire l'attività della società (prestazione del giocatore) nasce da un diverso negozio giuridico, successivo a quello della </w:t>
      </w:r>
      <w:r w:rsidR="00503516">
        <w:rPr>
          <w:rFonts w:ascii="Times New Roman" w:hAnsi="Times New Roman" w:cs="Times New Roman"/>
          <w:sz w:val="24"/>
          <w:szCs w:val="24"/>
        </w:rPr>
        <w:tab/>
      </w:r>
      <w:r w:rsidR="00503516" w:rsidRPr="00503516">
        <w:rPr>
          <w:rFonts w:ascii="Times New Roman" w:hAnsi="Times New Roman" w:cs="Times New Roman"/>
          <w:sz w:val="24"/>
          <w:szCs w:val="24"/>
        </w:rPr>
        <w:t>cessione.</w:t>
      </w:r>
    </w:p>
    <w:p w:rsidR="00503516" w:rsidRDefault="00503516"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Secondo tale </w:t>
      </w:r>
      <w:r>
        <w:rPr>
          <w:rFonts w:ascii="Times New Roman" w:hAnsi="Times New Roman" w:cs="Times New Roman"/>
          <w:sz w:val="24"/>
          <w:szCs w:val="24"/>
        </w:rPr>
        <w:tab/>
        <w:t>Commissione, n</w:t>
      </w:r>
      <w:r w:rsidRPr="00503516">
        <w:rPr>
          <w:rFonts w:ascii="Times New Roman" w:hAnsi="Times New Roman" w:cs="Times New Roman"/>
          <w:sz w:val="24"/>
          <w:szCs w:val="24"/>
        </w:rPr>
        <w:t>e discende che, acquisendo la società cessionaria solo il diritto a concludere un nuovo contratto con il giocatore, e non costituendo questo alcuna autonoma funzione produttiva, l'accordo tra le due società senza il successivo accordo con il giocatore non consente di affermare la realizzazione di una plusvalenza in capo alla società cedente, non derivando questa dal</w:t>
      </w:r>
      <w:r w:rsidR="0065226D">
        <w:rPr>
          <w:rFonts w:ascii="Times New Roman" w:hAnsi="Times New Roman" w:cs="Times New Roman"/>
          <w:sz w:val="24"/>
          <w:szCs w:val="24"/>
        </w:rPr>
        <w:t>l</w:t>
      </w:r>
      <w:r w:rsidRPr="00503516">
        <w:rPr>
          <w:rFonts w:ascii="Times New Roman" w:hAnsi="Times New Roman" w:cs="Times New Roman"/>
          <w:sz w:val="24"/>
          <w:szCs w:val="24"/>
        </w:rPr>
        <w:t>a cessione di un bene strumentale, con conseguente assoggettamento all'I</w:t>
      </w:r>
      <w:r w:rsidR="0065226D">
        <w:rPr>
          <w:rFonts w:ascii="Times New Roman" w:hAnsi="Times New Roman" w:cs="Times New Roman"/>
          <w:sz w:val="24"/>
          <w:szCs w:val="24"/>
        </w:rPr>
        <w:t>RAP</w:t>
      </w:r>
      <w:r w:rsidRPr="00503516">
        <w:rPr>
          <w:rFonts w:ascii="Times New Roman" w:hAnsi="Times New Roman" w:cs="Times New Roman"/>
          <w:sz w:val="24"/>
          <w:szCs w:val="24"/>
        </w:rPr>
        <w:t>.</w:t>
      </w:r>
    </w:p>
    <w:p w:rsidR="009D7634" w:rsidRDefault="009D7634" w:rsidP="00503516">
      <w:pPr>
        <w:spacing w:after="0" w:line="360" w:lineRule="auto"/>
        <w:jc w:val="both"/>
        <w:rPr>
          <w:rFonts w:ascii="Times New Roman" w:hAnsi="Times New Roman" w:cs="Times New Roman"/>
          <w:b/>
          <w:sz w:val="24"/>
          <w:szCs w:val="24"/>
        </w:rPr>
      </w:pPr>
    </w:p>
    <w:p w:rsidR="00503516" w:rsidRDefault="00503516" w:rsidP="00503516">
      <w:pPr>
        <w:spacing w:after="0" w:line="360" w:lineRule="auto"/>
        <w:jc w:val="both"/>
        <w:rPr>
          <w:rFonts w:ascii="Times New Roman" w:hAnsi="Times New Roman" w:cs="Times New Roman"/>
          <w:b/>
          <w:sz w:val="24"/>
          <w:szCs w:val="24"/>
        </w:rPr>
      </w:pPr>
      <w:r w:rsidRPr="00503516">
        <w:rPr>
          <w:rFonts w:ascii="Times New Roman" w:hAnsi="Times New Roman" w:cs="Times New Roman"/>
          <w:b/>
          <w:sz w:val="24"/>
          <w:szCs w:val="24"/>
        </w:rPr>
        <w:t>4.</w:t>
      </w:r>
      <w:r w:rsidR="00DC53F2">
        <w:rPr>
          <w:rFonts w:ascii="Times New Roman" w:hAnsi="Times New Roman" w:cs="Times New Roman"/>
          <w:b/>
          <w:sz w:val="24"/>
          <w:szCs w:val="24"/>
        </w:rPr>
        <w:t>La m</w:t>
      </w:r>
      <w:r w:rsidRPr="00503516">
        <w:rPr>
          <w:rFonts w:ascii="Times New Roman" w:hAnsi="Times New Roman" w:cs="Times New Roman"/>
          <w:b/>
          <w:sz w:val="24"/>
          <w:szCs w:val="24"/>
        </w:rPr>
        <w:t>otivazione delle ordinanze (</w:t>
      </w:r>
      <w:r>
        <w:rPr>
          <w:rFonts w:ascii="Times New Roman" w:hAnsi="Times New Roman" w:cs="Times New Roman"/>
          <w:b/>
          <w:sz w:val="24"/>
          <w:szCs w:val="24"/>
        </w:rPr>
        <w:t>Cass.</w:t>
      </w:r>
      <w:r w:rsidRPr="00503516">
        <w:rPr>
          <w:rFonts w:ascii="Times New Roman" w:hAnsi="Times New Roman" w:cs="Times New Roman"/>
          <w:b/>
          <w:sz w:val="24"/>
          <w:szCs w:val="24"/>
        </w:rPr>
        <w:t>nn.2144, 2145, 2146 del 12 luglio 2018)</w:t>
      </w:r>
    </w:p>
    <w:p w:rsidR="003A6FB1" w:rsidRDefault="003A6FB1" w:rsidP="00503516">
      <w:pPr>
        <w:spacing w:after="0" w:line="360" w:lineRule="auto"/>
        <w:jc w:val="both"/>
        <w:rPr>
          <w:rFonts w:ascii="Times New Roman" w:hAnsi="Times New Roman" w:cs="Times New Roman"/>
          <w:sz w:val="24"/>
          <w:szCs w:val="24"/>
        </w:rPr>
      </w:pPr>
      <w:r w:rsidRPr="003A6FB1">
        <w:rPr>
          <w:rFonts w:ascii="Times New Roman" w:hAnsi="Times New Roman" w:cs="Times New Roman"/>
          <w:sz w:val="24"/>
          <w:szCs w:val="24"/>
        </w:rPr>
        <w:t xml:space="preserve">Prima </w:t>
      </w:r>
      <w:r>
        <w:rPr>
          <w:rFonts w:ascii="Times New Roman" w:hAnsi="Times New Roman" w:cs="Times New Roman"/>
          <w:sz w:val="24"/>
          <w:szCs w:val="24"/>
        </w:rPr>
        <w:t>di enunciare il principio di diritto sopra esposto, la Suprema Corte in via preliminare ha inquadrato la natura di plusvalenza, rilevante ai fini IRAP, dei corrispettivi ricevuti dalla società sportiva per la cessione del contratto dei calciatori.</w:t>
      </w:r>
    </w:p>
    <w:p w:rsidR="0065226D" w:rsidRDefault="006A732B"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Precedentemente</w:t>
      </w:r>
      <w:r w:rsidR="00A83CE2">
        <w:rPr>
          <w:rFonts w:ascii="Times New Roman" w:hAnsi="Times New Roman" w:cs="Times New Roman"/>
          <w:sz w:val="24"/>
          <w:szCs w:val="24"/>
        </w:rPr>
        <w:t xml:space="preserve"> alla </w:t>
      </w:r>
      <w:r w:rsidR="0065226D">
        <w:rPr>
          <w:rFonts w:ascii="Times New Roman" w:hAnsi="Times New Roman" w:cs="Times New Roman"/>
          <w:sz w:val="24"/>
          <w:szCs w:val="24"/>
        </w:rPr>
        <w:t>L.n.91/1981, l’atleta professionista era legato alla società sportiva</w:t>
      </w:r>
      <w:r w:rsidR="00CF7A4C">
        <w:rPr>
          <w:rFonts w:ascii="Times New Roman" w:hAnsi="Times New Roman" w:cs="Times New Roman"/>
          <w:sz w:val="24"/>
          <w:szCs w:val="24"/>
        </w:rPr>
        <w:t>, oltre che dal contratto di prestazione sportiva, altresì dal “vincolo sportivo”, che istituiva un rapporto autonomo e distinto,</w:t>
      </w:r>
      <w:r w:rsidR="0006450C">
        <w:rPr>
          <w:rFonts w:ascii="Times New Roman" w:hAnsi="Times New Roman" w:cs="Times New Roman"/>
          <w:sz w:val="24"/>
          <w:szCs w:val="24"/>
        </w:rPr>
        <w:t xml:space="preserve"> </w:t>
      </w:r>
      <w:r w:rsidR="00CF7A4C">
        <w:rPr>
          <w:rFonts w:ascii="Times New Roman" w:hAnsi="Times New Roman" w:cs="Times New Roman"/>
          <w:sz w:val="24"/>
          <w:szCs w:val="24"/>
        </w:rPr>
        <w:t>in base al quale la società acquisiva il diritto, esclusivo e alienabile ai terzi,</w:t>
      </w:r>
      <w:r w:rsidR="00407911">
        <w:rPr>
          <w:rFonts w:ascii="Times New Roman" w:hAnsi="Times New Roman" w:cs="Times New Roman"/>
          <w:sz w:val="24"/>
          <w:szCs w:val="24"/>
        </w:rPr>
        <w:t xml:space="preserve"> </w:t>
      </w:r>
      <w:r w:rsidR="00CF7A4C">
        <w:rPr>
          <w:rFonts w:ascii="Times New Roman" w:hAnsi="Times New Roman" w:cs="Times New Roman"/>
          <w:sz w:val="24"/>
          <w:szCs w:val="24"/>
        </w:rPr>
        <w:t>a usufruire dell’atleta per tutta la durata della sua carriera sportiva.</w:t>
      </w:r>
    </w:p>
    <w:p w:rsidR="00257621" w:rsidRDefault="0065226D"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Successivamente, con la </w:t>
      </w:r>
      <w:r w:rsidR="00876609" w:rsidRPr="00876609">
        <w:rPr>
          <w:rFonts w:ascii="Times New Roman" w:hAnsi="Times New Roman" w:cs="Times New Roman"/>
          <w:b/>
          <w:sz w:val="24"/>
          <w:szCs w:val="24"/>
        </w:rPr>
        <w:t>L.n.91 del 1981</w:t>
      </w:r>
      <w:r>
        <w:rPr>
          <w:rFonts w:ascii="Times New Roman" w:hAnsi="Times New Roman" w:cs="Times New Roman"/>
          <w:b/>
          <w:sz w:val="24"/>
          <w:szCs w:val="24"/>
        </w:rPr>
        <w:t xml:space="preserve"> </w:t>
      </w:r>
      <w:r w:rsidRPr="0065226D">
        <w:rPr>
          <w:rFonts w:ascii="Times New Roman" w:hAnsi="Times New Roman" w:cs="Times New Roman"/>
          <w:sz w:val="24"/>
          <w:szCs w:val="24"/>
        </w:rPr>
        <w:t xml:space="preserve">è stata </w:t>
      </w:r>
      <w:r w:rsidR="00876609">
        <w:rPr>
          <w:rFonts w:ascii="Times New Roman" w:hAnsi="Times New Roman" w:cs="Times New Roman"/>
          <w:sz w:val="24"/>
          <w:szCs w:val="24"/>
        </w:rPr>
        <w:t>regolamentat</w:t>
      </w:r>
      <w:r>
        <w:rPr>
          <w:rFonts w:ascii="Times New Roman" w:hAnsi="Times New Roman" w:cs="Times New Roman"/>
          <w:sz w:val="24"/>
          <w:szCs w:val="24"/>
        </w:rPr>
        <w:t>a</w:t>
      </w:r>
      <w:r w:rsidR="00876609">
        <w:rPr>
          <w:rFonts w:ascii="Times New Roman" w:hAnsi="Times New Roman" w:cs="Times New Roman"/>
          <w:sz w:val="24"/>
          <w:szCs w:val="24"/>
        </w:rPr>
        <w:t xml:space="preserve"> in modo diverso la materia, preve</w:t>
      </w:r>
      <w:r w:rsidR="00A83CE2">
        <w:rPr>
          <w:rFonts w:ascii="Times New Roman" w:hAnsi="Times New Roman" w:cs="Times New Roman"/>
          <w:sz w:val="24"/>
          <w:szCs w:val="24"/>
        </w:rPr>
        <w:t>de</w:t>
      </w:r>
      <w:r w:rsidR="00876609">
        <w:rPr>
          <w:rFonts w:ascii="Times New Roman" w:hAnsi="Times New Roman" w:cs="Times New Roman"/>
          <w:sz w:val="24"/>
          <w:szCs w:val="24"/>
        </w:rPr>
        <w:t>ndo, all’</w:t>
      </w:r>
      <w:r w:rsidR="00876609" w:rsidRPr="001F7160">
        <w:rPr>
          <w:rFonts w:ascii="Times New Roman" w:hAnsi="Times New Roman" w:cs="Times New Roman"/>
          <w:b/>
          <w:sz w:val="24"/>
          <w:szCs w:val="24"/>
        </w:rPr>
        <w:t>art.3</w:t>
      </w:r>
      <w:r w:rsidR="00876609">
        <w:rPr>
          <w:rFonts w:ascii="Times New Roman" w:hAnsi="Times New Roman" w:cs="Times New Roman"/>
          <w:sz w:val="24"/>
          <w:szCs w:val="24"/>
        </w:rPr>
        <w:t xml:space="preserve">, che </w:t>
      </w:r>
      <w:r w:rsidR="00876609" w:rsidRPr="00876609">
        <w:rPr>
          <w:rFonts w:ascii="Times New Roman" w:hAnsi="Times New Roman" w:cs="Times New Roman"/>
          <w:i/>
          <w:sz w:val="24"/>
          <w:szCs w:val="24"/>
        </w:rPr>
        <w:t>“la prestazione a titolo oneroso dell’atleta costituisce oggetto di contratto di lavoro subordinato regolato dalle norme contenute nella presente legge”</w:t>
      </w:r>
      <w:r w:rsidR="00876609">
        <w:rPr>
          <w:rFonts w:ascii="Times New Roman" w:hAnsi="Times New Roman" w:cs="Times New Roman"/>
          <w:sz w:val="24"/>
          <w:szCs w:val="24"/>
        </w:rPr>
        <w:t>.</w:t>
      </w:r>
    </w:p>
    <w:p w:rsidR="003A6FB1" w:rsidRDefault="00876609"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Predetto articolo disciplina il rapporto di prestazione sportiva a titolo oneroso, che si costituisce mediante assunzione diretta e con la stipulazione di un contratto in forma scritta tra lo sportivo e la s</w:t>
      </w:r>
      <w:r w:rsidR="007A05DD">
        <w:rPr>
          <w:rFonts w:ascii="Times New Roman" w:hAnsi="Times New Roman" w:cs="Times New Roman"/>
          <w:sz w:val="24"/>
          <w:szCs w:val="24"/>
        </w:rPr>
        <w:t>o</w:t>
      </w:r>
      <w:r>
        <w:rPr>
          <w:rFonts w:ascii="Times New Roman" w:hAnsi="Times New Roman" w:cs="Times New Roman"/>
          <w:sz w:val="24"/>
          <w:szCs w:val="24"/>
        </w:rPr>
        <w:t>cietà destinataria delle prestazio</w:t>
      </w:r>
      <w:r w:rsidR="007A05DD">
        <w:rPr>
          <w:rFonts w:ascii="Times New Roman" w:hAnsi="Times New Roman" w:cs="Times New Roman"/>
          <w:sz w:val="24"/>
          <w:szCs w:val="24"/>
        </w:rPr>
        <w:t>ni sportive.</w:t>
      </w:r>
    </w:p>
    <w:p w:rsidR="00A97895" w:rsidRDefault="007A05DD"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Poi, l’art. 5 comma 2 della stessa legge prevede che </w:t>
      </w:r>
      <w:r w:rsidRPr="00A97895">
        <w:rPr>
          <w:rFonts w:ascii="Times New Roman" w:hAnsi="Times New Roman" w:cs="Times New Roman"/>
          <w:i/>
          <w:sz w:val="24"/>
          <w:szCs w:val="24"/>
        </w:rPr>
        <w:t xml:space="preserve">“è ammessa la cessione del contratto, prima della scadenza, da una società sportiva a un’altra, </w:t>
      </w:r>
      <w:proofErr w:type="spellStart"/>
      <w:r w:rsidRPr="00A97895">
        <w:rPr>
          <w:rFonts w:ascii="Times New Roman" w:hAnsi="Times New Roman" w:cs="Times New Roman"/>
          <w:i/>
          <w:sz w:val="24"/>
          <w:szCs w:val="24"/>
        </w:rPr>
        <w:t>purchè</w:t>
      </w:r>
      <w:proofErr w:type="spellEnd"/>
      <w:r w:rsidRPr="00A97895">
        <w:rPr>
          <w:rFonts w:ascii="Times New Roman" w:hAnsi="Times New Roman" w:cs="Times New Roman"/>
          <w:i/>
          <w:sz w:val="24"/>
          <w:szCs w:val="24"/>
        </w:rPr>
        <w:t xml:space="preserve"> vi consenta l’altra parte e siano osservate le modalità fissate dalle federazioni sportive nazionali”</w:t>
      </w:r>
      <w:r w:rsidR="00A97895" w:rsidRPr="00A97895">
        <w:rPr>
          <w:rFonts w:ascii="Times New Roman" w:hAnsi="Times New Roman" w:cs="Times New Roman"/>
          <w:i/>
          <w:sz w:val="24"/>
          <w:szCs w:val="24"/>
        </w:rPr>
        <w:t>.</w:t>
      </w:r>
    </w:p>
    <w:p w:rsidR="00A97895" w:rsidRPr="003A6FB1" w:rsidRDefault="00A97895" w:rsidP="005035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Inoltre, l’art. 11, comma 3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n.446 del 1997, all’epoca vigente, dispone che </w:t>
      </w:r>
      <w:r w:rsidRPr="00A97895">
        <w:rPr>
          <w:rFonts w:ascii="Times New Roman" w:hAnsi="Times New Roman" w:cs="Times New Roman"/>
          <w:i/>
          <w:sz w:val="24"/>
          <w:szCs w:val="24"/>
        </w:rPr>
        <w:t>“Ai fini della determinazione della base imponibile di cui agli articoli 5, 6 e 7 concorrono.</w:t>
      </w:r>
      <w:r w:rsidR="001F7160">
        <w:rPr>
          <w:rFonts w:ascii="Times New Roman" w:hAnsi="Times New Roman" w:cs="Times New Roman"/>
          <w:i/>
          <w:sz w:val="24"/>
          <w:szCs w:val="24"/>
        </w:rPr>
        <w:t xml:space="preserve"> </w:t>
      </w:r>
      <w:r w:rsidRPr="00A97895">
        <w:rPr>
          <w:rFonts w:ascii="Times New Roman" w:hAnsi="Times New Roman" w:cs="Times New Roman"/>
          <w:i/>
          <w:sz w:val="24"/>
          <w:szCs w:val="24"/>
        </w:rPr>
        <w:t>in ogni caso, le plusvalenze</w:t>
      </w:r>
      <w:r>
        <w:rPr>
          <w:rFonts w:ascii="Times New Roman" w:hAnsi="Times New Roman" w:cs="Times New Roman"/>
          <w:sz w:val="24"/>
          <w:szCs w:val="24"/>
        </w:rPr>
        <w:t xml:space="preserve"> </w:t>
      </w:r>
      <w:r w:rsidRPr="00A97895">
        <w:rPr>
          <w:rFonts w:ascii="Times New Roman" w:hAnsi="Times New Roman" w:cs="Times New Roman"/>
          <w:i/>
          <w:sz w:val="24"/>
          <w:szCs w:val="24"/>
        </w:rPr>
        <w:t>e le minusvalenze relative ai beni strumentali non derivanti da operazioni di trasferimento di azienda”</w:t>
      </w:r>
      <w:r>
        <w:rPr>
          <w:rFonts w:ascii="Times New Roman" w:hAnsi="Times New Roman" w:cs="Times New Roman"/>
          <w:sz w:val="24"/>
          <w:szCs w:val="24"/>
        </w:rPr>
        <w:t>.</w:t>
      </w:r>
    </w:p>
    <w:p w:rsidR="003A6FB1" w:rsidRDefault="00A97895" w:rsidP="0050351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Supremo Consesso, ha precisato che, la FIGC, interpretando </w:t>
      </w:r>
      <w:r w:rsidRPr="001F7160">
        <w:rPr>
          <w:rFonts w:ascii="Times New Roman" w:hAnsi="Times New Roman" w:cs="Times New Roman"/>
          <w:b/>
          <w:bCs/>
          <w:sz w:val="24"/>
          <w:szCs w:val="24"/>
        </w:rPr>
        <w:t>l’art. 5 citato della legge n.91/1981</w:t>
      </w:r>
      <w:r>
        <w:rPr>
          <w:rFonts w:ascii="Times New Roman" w:hAnsi="Times New Roman" w:cs="Times New Roman"/>
          <w:bCs/>
          <w:sz w:val="24"/>
          <w:szCs w:val="24"/>
        </w:rPr>
        <w:t>, ha ritenuto che</w:t>
      </w:r>
      <w:r w:rsidR="001F7160">
        <w:rPr>
          <w:rFonts w:ascii="Times New Roman" w:hAnsi="Times New Roman" w:cs="Times New Roman"/>
          <w:bCs/>
          <w:sz w:val="24"/>
          <w:szCs w:val="24"/>
        </w:rPr>
        <w:t xml:space="preserve"> </w:t>
      </w:r>
      <w:r>
        <w:rPr>
          <w:rFonts w:ascii="Times New Roman" w:hAnsi="Times New Roman" w:cs="Times New Roman"/>
          <w:bCs/>
          <w:sz w:val="24"/>
          <w:szCs w:val="24"/>
        </w:rPr>
        <w:t>tale fattispecie si configurasse come una commissione di tre atti distinti:</w:t>
      </w:r>
    </w:p>
    <w:p w:rsidR="00A97895" w:rsidRDefault="00A97895" w:rsidP="00A97895">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l’accordo tra le due società sportive e l’atleta per il trasferimento di questi;</w:t>
      </w:r>
    </w:p>
    <w:p w:rsidR="00A97895" w:rsidRDefault="00A97895" w:rsidP="00A97895">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l’accordo tra le due socie</w:t>
      </w:r>
      <w:r w:rsidR="001F7160">
        <w:rPr>
          <w:rFonts w:ascii="Times New Roman" w:hAnsi="Times New Roman" w:cs="Times New Roman"/>
          <w:bCs/>
          <w:sz w:val="24"/>
          <w:szCs w:val="24"/>
        </w:rPr>
        <w:t>t</w:t>
      </w:r>
      <w:r>
        <w:rPr>
          <w:rFonts w:ascii="Times New Roman" w:hAnsi="Times New Roman" w:cs="Times New Roman"/>
          <w:bCs/>
          <w:sz w:val="24"/>
          <w:szCs w:val="24"/>
        </w:rPr>
        <w:t>à per la risoluzione anticipata del contratto di prestazione sportiva in essere;</w:t>
      </w:r>
    </w:p>
    <w:p w:rsidR="00A97895" w:rsidRDefault="00A97895" w:rsidP="00A97895">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stipulazione di un nuovo contratto tra l’atleta e la nuova società.</w:t>
      </w:r>
    </w:p>
    <w:p w:rsidR="00A97895" w:rsidRDefault="00A97895"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Secondo la FIGC, pertanto, poiché il corrispettivo versato dalla cessionaria non ha come causa la cessione del contratto esistente, </w:t>
      </w:r>
      <w:r w:rsidRPr="001F7160">
        <w:rPr>
          <w:rFonts w:ascii="Times New Roman" w:hAnsi="Times New Roman" w:cs="Times New Roman"/>
          <w:b/>
          <w:bCs/>
          <w:sz w:val="24"/>
          <w:szCs w:val="24"/>
        </w:rPr>
        <w:t>ma solo la sua anticipata cessazione</w:t>
      </w:r>
      <w:r>
        <w:rPr>
          <w:rFonts w:ascii="Times New Roman" w:hAnsi="Times New Roman" w:cs="Times New Roman"/>
          <w:bCs/>
          <w:sz w:val="24"/>
          <w:szCs w:val="24"/>
        </w:rPr>
        <w:t xml:space="preserve"> e, </w:t>
      </w:r>
      <w:r w:rsidRPr="001F7160">
        <w:rPr>
          <w:rFonts w:ascii="Times New Roman" w:hAnsi="Times New Roman" w:cs="Times New Roman"/>
          <w:b/>
          <w:bCs/>
          <w:sz w:val="24"/>
          <w:szCs w:val="24"/>
        </w:rPr>
        <w:t>in assenza della stipulazione del nuovo contratto, questo diritto “non è suscettibile di alcuna autonoma funzione produttiva</w:t>
      </w:r>
      <w:r>
        <w:rPr>
          <w:rFonts w:ascii="Times New Roman" w:hAnsi="Times New Roman" w:cs="Times New Roman"/>
          <w:bCs/>
          <w:sz w:val="24"/>
          <w:szCs w:val="24"/>
        </w:rPr>
        <w:t xml:space="preserve">”, </w:t>
      </w:r>
      <w:r w:rsidR="00125F33">
        <w:rPr>
          <w:rFonts w:ascii="Times New Roman" w:hAnsi="Times New Roman" w:cs="Times New Roman"/>
          <w:bCs/>
          <w:sz w:val="24"/>
          <w:szCs w:val="24"/>
        </w:rPr>
        <w:t>di conseguenza</w:t>
      </w:r>
      <w:r>
        <w:rPr>
          <w:rFonts w:ascii="Times New Roman" w:hAnsi="Times New Roman" w:cs="Times New Roman"/>
          <w:bCs/>
          <w:sz w:val="24"/>
          <w:szCs w:val="24"/>
        </w:rPr>
        <w:t xml:space="preserve"> le somme pattuite non costituiscono plusvalenze relative a beni strumentali.</w:t>
      </w:r>
    </w:p>
    <w:p w:rsidR="00A97895" w:rsidRDefault="00A97895"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Dall’altra parte, l’Agenzia delle Entrate, </w:t>
      </w:r>
      <w:r w:rsidR="005A23B0">
        <w:rPr>
          <w:rFonts w:ascii="Times New Roman" w:hAnsi="Times New Roman" w:cs="Times New Roman"/>
          <w:bCs/>
          <w:sz w:val="24"/>
          <w:szCs w:val="24"/>
        </w:rPr>
        <w:t xml:space="preserve">con la </w:t>
      </w:r>
      <w:r w:rsidR="005A23B0" w:rsidRPr="00125F33">
        <w:rPr>
          <w:rFonts w:ascii="Times New Roman" w:hAnsi="Times New Roman" w:cs="Times New Roman"/>
          <w:b/>
          <w:bCs/>
          <w:sz w:val="24"/>
          <w:szCs w:val="24"/>
        </w:rPr>
        <w:t>risoluzione n.213 del 19-12-2001</w:t>
      </w:r>
      <w:r w:rsidR="005A23B0">
        <w:rPr>
          <w:rFonts w:ascii="Times New Roman" w:hAnsi="Times New Roman" w:cs="Times New Roman"/>
          <w:bCs/>
          <w:sz w:val="24"/>
          <w:szCs w:val="24"/>
        </w:rPr>
        <w:t xml:space="preserve"> ha, </w:t>
      </w:r>
      <w:r w:rsidR="00125F33">
        <w:rPr>
          <w:rFonts w:ascii="Times New Roman" w:hAnsi="Times New Roman" w:cs="Times New Roman"/>
          <w:bCs/>
          <w:sz w:val="24"/>
          <w:szCs w:val="24"/>
        </w:rPr>
        <w:t>al contrario</w:t>
      </w:r>
      <w:r w:rsidR="005A23B0">
        <w:rPr>
          <w:rFonts w:ascii="Times New Roman" w:hAnsi="Times New Roman" w:cs="Times New Roman"/>
          <w:bCs/>
          <w:sz w:val="24"/>
          <w:szCs w:val="24"/>
        </w:rPr>
        <w:t xml:space="preserve">, sposato la diversa tesi </w:t>
      </w:r>
      <w:r w:rsidR="005A23B0" w:rsidRPr="00125F33">
        <w:rPr>
          <w:rFonts w:ascii="Times New Roman" w:hAnsi="Times New Roman" w:cs="Times New Roman"/>
          <w:b/>
          <w:bCs/>
          <w:sz w:val="24"/>
          <w:szCs w:val="24"/>
        </w:rPr>
        <w:t>della sussistenza della plusvalenza, poiché si è in presenza di cessione del contratto, come previsto espressamente all’art. 5 comma 2 succitato</w:t>
      </w:r>
      <w:r w:rsidR="005A23B0">
        <w:rPr>
          <w:rFonts w:ascii="Times New Roman" w:hAnsi="Times New Roman" w:cs="Times New Roman"/>
          <w:bCs/>
          <w:sz w:val="24"/>
          <w:szCs w:val="24"/>
        </w:rPr>
        <w:t>.</w:t>
      </w:r>
    </w:p>
    <w:p w:rsidR="005A23B0" w:rsidRDefault="00125F33"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Secondo </w:t>
      </w:r>
      <w:proofErr w:type="spellStart"/>
      <w:r>
        <w:rPr>
          <w:rFonts w:ascii="Times New Roman" w:hAnsi="Times New Roman" w:cs="Times New Roman"/>
          <w:bCs/>
          <w:sz w:val="24"/>
          <w:szCs w:val="24"/>
        </w:rPr>
        <w:t>l’AdE</w:t>
      </w:r>
      <w:proofErr w:type="spellEnd"/>
      <w:r>
        <w:rPr>
          <w:rFonts w:ascii="Times New Roman" w:hAnsi="Times New Roman" w:cs="Times New Roman"/>
          <w:bCs/>
          <w:sz w:val="24"/>
          <w:szCs w:val="24"/>
        </w:rPr>
        <w:t>, d</w:t>
      </w:r>
      <w:r w:rsidR="005A23B0">
        <w:rPr>
          <w:rFonts w:ascii="Times New Roman" w:hAnsi="Times New Roman" w:cs="Times New Roman"/>
          <w:bCs/>
          <w:sz w:val="24"/>
          <w:szCs w:val="24"/>
        </w:rPr>
        <w:t>ifatti</w:t>
      </w:r>
      <w:r>
        <w:rPr>
          <w:rFonts w:ascii="Times New Roman" w:hAnsi="Times New Roman" w:cs="Times New Roman"/>
          <w:bCs/>
          <w:sz w:val="24"/>
          <w:szCs w:val="24"/>
        </w:rPr>
        <w:t>,</w:t>
      </w:r>
      <w:r w:rsidR="005A23B0">
        <w:rPr>
          <w:rFonts w:ascii="Times New Roman" w:hAnsi="Times New Roman" w:cs="Times New Roman"/>
          <w:bCs/>
          <w:sz w:val="24"/>
          <w:szCs w:val="24"/>
        </w:rPr>
        <w:t xml:space="preserve"> il diritto all’utilizzo esclusivo deve essere considerato un bene immateriale strumentale; trattasi di una immobilizzazione, poiché non esaurisce la propria utilità in un solo esercizio, ma manifesta i suoi benefici economici lungo un arco temporale di più esercizi, assimilabile ai beni immateriali e, pertanto, ammortizzabile ai sensi dell’art. 68 D.P.R.n.917</w:t>
      </w:r>
      <w:r w:rsidR="00C17A58">
        <w:rPr>
          <w:rFonts w:ascii="Times New Roman" w:hAnsi="Times New Roman" w:cs="Times New Roman"/>
          <w:bCs/>
          <w:sz w:val="24"/>
          <w:szCs w:val="24"/>
        </w:rPr>
        <w:t>/1</w:t>
      </w:r>
      <w:r w:rsidR="005A23B0">
        <w:rPr>
          <w:rFonts w:ascii="Times New Roman" w:hAnsi="Times New Roman" w:cs="Times New Roman"/>
          <w:bCs/>
          <w:sz w:val="24"/>
          <w:szCs w:val="24"/>
        </w:rPr>
        <w:t>986.</w:t>
      </w:r>
    </w:p>
    <w:p w:rsidR="005A23B0" w:rsidRDefault="005A23B0"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Per le ragioni innanzi esposte, l’Agenzia delle Entrate ha concluso ritenendo che il compenso derivante dalla cessione del bene immateriale strumentale genera plusvalenza o minusvalenza; inoltre, </w:t>
      </w:r>
      <w:r w:rsidRPr="00125F33">
        <w:rPr>
          <w:rFonts w:ascii="Times New Roman" w:hAnsi="Times New Roman" w:cs="Times New Roman"/>
          <w:b/>
          <w:bCs/>
          <w:sz w:val="24"/>
          <w:szCs w:val="24"/>
        </w:rPr>
        <w:t>il trasferimento di un calciatore rientra nella gestione ordinaria</w:t>
      </w:r>
      <w:r w:rsidR="005A18DF" w:rsidRPr="00125F33">
        <w:rPr>
          <w:rFonts w:ascii="Times New Roman" w:hAnsi="Times New Roman" w:cs="Times New Roman"/>
          <w:b/>
          <w:bCs/>
          <w:sz w:val="24"/>
          <w:szCs w:val="24"/>
        </w:rPr>
        <w:t xml:space="preserve"> “accessoria”</w:t>
      </w:r>
      <w:r w:rsidR="009B2DEF" w:rsidRPr="00125F33">
        <w:rPr>
          <w:rFonts w:ascii="Times New Roman" w:hAnsi="Times New Roman" w:cs="Times New Roman"/>
          <w:b/>
          <w:bCs/>
          <w:sz w:val="24"/>
          <w:szCs w:val="24"/>
        </w:rPr>
        <w:t xml:space="preserve"> di una società sportiva;</w:t>
      </w:r>
      <w:r w:rsidR="009B2DEF">
        <w:rPr>
          <w:rFonts w:ascii="Times New Roman" w:hAnsi="Times New Roman" w:cs="Times New Roman"/>
          <w:bCs/>
          <w:sz w:val="24"/>
          <w:szCs w:val="24"/>
        </w:rPr>
        <w:t xml:space="preserve"> per tale ragione, nel conto economico le plusvalenze vanno indicate alla voce A n.5 “altri ricavi e proventi”,</w:t>
      </w:r>
      <w:r w:rsidR="00A83CE2">
        <w:rPr>
          <w:rFonts w:ascii="Times New Roman" w:hAnsi="Times New Roman" w:cs="Times New Roman"/>
          <w:bCs/>
          <w:sz w:val="24"/>
          <w:szCs w:val="24"/>
        </w:rPr>
        <w:t xml:space="preserve"> e</w:t>
      </w:r>
      <w:r w:rsidR="009B2DEF">
        <w:rPr>
          <w:rFonts w:ascii="Times New Roman" w:hAnsi="Times New Roman" w:cs="Times New Roman"/>
          <w:bCs/>
          <w:sz w:val="24"/>
          <w:szCs w:val="24"/>
        </w:rPr>
        <w:t xml:space="preserve"> non come proventi straordinari di cui alla voce del conto economico E 20.</w:t>
      </w:r>
    </w:p>
    <w:p w:rsidR="009B2DEF" w:rsidRDefault="009B2DEF"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 giudici di legittimità</w:t>
      </w:r>
      <w:r w:rsidR="00125F33">
        <w:rPr>
          <w:rFonts w:ascii="Times New Roman" w:hAnsi="Times New Roman" w:cs="Times New Roman"/>
          <w:bCs/>
          <w:sz w:val="24"/>
          <w:szCs w:val="24"/>
        </w:rPr>
        <w:t>,</w:t>
      </w:r>
      <w:r>
        <w:rPr>
          <w:rFonts w:ascii="Times New Roman" w:hAnsi="Times New Roman" w:cs="Times New Roman"/>
          <w:bCs/>
          <w:sz w:val="24"/>
          <w:szCs w:val="24"/>
        </w:rPr>
        <w:t xml:space="preserve"> nelle ordinanze in questione</w:t>
      </w:r>
      <w:r w:rsidR="00125F33">
        <w:rPr>
          <w:rFonts w:ascii="Times New Roman" w:hAnsi="Times New Roman" w:cs="Times New Roman"/>
          <w:bCs/>
          <w:sz w:val="24"/>
          <w:szCs w:val="24"/>
        </w:rPr>
        <w:t>,</w:t>
      </w:r>
      <w:r>
        <w:rPr>
          <w:rFonts w:ascii="Times New Roman" w:hAnsi="Times New Roman" w:cs="Times New Roman"/>
          <w:bCs/>
          <w:sz w:val="24"/>
          <w:szCs w:val="24"/>
        </w:rPr>
        <w:t xml:space="preserve"> hanno sottolineato che tale </w:t>
      </w:r>
      <w:r w:rsidR="0024343E">
        <w:rPr>
          <w:rFonts w:ascii="Times New Roman" w:hAnsi="Times New Roman" w:cs="Times New Roman"/>
          <w:bCs/>
          <w:sz w:val="24"/>
          <w:szCs w:val="24"/>
        </w:rPr>
        <w:t xml:space="preserve">tesi sostenuta dall’Agenzia delle Entrate è stata ritenuta corretta dal </w:t>
      </w:r>
      <w:r w:rsidR="0024343E" w:rsidRPr="00125F33">
        <w:rPr>
          <w:rFonts w:ascii="Times New Roman" w:hAnsi="Times New Roman" w:cs="Times New Roman"/>
          <w:b/>
          <w:bCs/>
          <w:sz w:val="24"/>
          <w:szCs w:val="24"/>
        </w:rPr>
        <w:t>Consiglio di Stato che, nel parere n.5285/2012 dell’11-12-2012</w:t>
      </w:r>
      <w:r w:rsidR="0024343E">
        <w:rPr>
          <w:rFonts w:ascii="Times New Roman" w:hAnsi="Times New Roman" w:cs="Times New Roman"/>
          <w:bCs/>
          <w:sz w:val="24"/>
          <w:szCs w:val="24"/>
        </w:rPr>
        <w:t xml:space="preserve"> ha ribadito che il contratto di lavoro degli atleti professionisti rappresenta un bene dotato di autonoma utilità economica, </w:t>
      </w:r>
      <w:r w:rsidR="00125F33">
        <w:rPr>
          <w:rFonts w:ascii="Times New Roman" w:hAnsi="Times New Roman" w:cs="Times New Roman"/>
          <w:bCs/>
          <w:sz w:val="24"/>
          <w:szCs w:val="24"/>
        </w:rPr>
        <w:t>pertanto</w:t>
      </w:r>
      <w:r w:rsidR="0024343E">
        <w:rPr>
          <w:rFonts w:ascii="Times New Roman" w:hAnsi="Times New Roman" w:cs="Times New Roman"/>
          <w:bCs/>
          <w:sz w:val="24"/>
          <w:szCs w:val="24"/>
        </w:rPr>
        <w:t xml:space="preserve"> è suscettibile di negoziazione, in quanto le prestazioni sportive oggetto del contratto possono essere sfruttate anche da altre società sportive.</w:t>
      </w:r>
    </w:p>
    <w:p w:rsidR="0024343E" w:rsidRDefault="003224A9"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Alla luce delle considerazioni sopra</w:t>
      </w:r>
      <w:r w:rsidR="00125F33">
        <w:rPr>
          <w:rFonts w:ascii="Times New Roman" w:hAnsi="Times New Roman" w:cs="Times New Roman"/>
          <w:bCs/>
          <w:sz w:val="24"/>
          <w:szCs w:val="24"/>
        </w:rPr>
        <w:t xml:space="preserve"> </w:t>
      </w:r>
      <w:r>
        <w:rPr>
          <w:rFonts w:ascii="Times New Roman" w:hAnsi="Times New Roman" w:cs="Times New Roman"/>
          <w:bCs/>
          <w:sz w:val="24"/>
          <w:szCs w:val="24"/>
        </w:rPr>
        <w:t>esposte, la Corte di Cassazione ha rigettato il ricorso incidentale proposto dalla società Alfa,</w:t>
      </w:r>
      <w:r w:rsidR="00125F33">
        <w:rPr>
          <w:rFonts w:ascii="Times New Roman" w:hAnsi="Times New Roman" w:cs="Times New Roman"/>
          <w:bCs/>
          <w:sz w:val="24"/>
          <w:szCs w:val="24"/>
        </w:rPr>
        <w:t xml:space="preserve"> atteso che nel caso di specie si è </w:t>
      </w:r>
      <w:r>
        <w:rPr>
          <w:rFonts w:ascii="Times New Roman" w:hAnsi="Times New Roman" w:cs="Times New Roman"/>
          <w:bCs/>
          <w:sz w:val="24"/>
          <w:szCs w:val="24"/>
        </w:rPr>
        <w:t>in presenza di plusvalenze che incidono sul reddito della società sportiva cedente ai fini IRAP.</w:t>
      </w:r>
    </w:p>
    <w:p w:rsidR="003224A9" w:rsidRDefault="003224A9"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Suprema Corte ha stabilito che nel caso </w:t>
      </w:r>
      <w:r w:rsidR="00125F33">
        <w:rPr>
          <w:rFonts w:ascii="Times New Roman" w:hAnsi="Times New Roman" w:cs="Times New Roman"/>
          <w:bCs/>
          <w:sz w:val="24"/>
          <w:szCs w:val="24"/>
        </w:rPr>
        <w:t>di cessione di calciatori</w:t>
      </w:r>
      <w:r w:rsidR="00A83CE2">
        <w:rPr>
          <w:rFonts w:ascii="Times New Roman" w:hAnsi="Times New Roman" w:cs="Times New Roman"/>
          <w:bCs/>
          <w:sz w:val="24"/>
          <w:szCs w:val="24"/>
        </w:rPr>
        <w:t xml:space="preserve"> </w:t>
      </w:r>
      <w:r w:rsidRPr="00CB2072">
        <w:rPr>
          <w:rFonts w:ascii="Times New Roman" w:hAnsi="Times New Roman" w:cs="Times New Roman"/>
          <w:bCs/>
          <w:i/>
          <w:sz w:val="24"/>
          <w:szCs w:val="24"/>
        </w:rPr>
        <w:t>“…non si verte in tema di plusvalenze “straordinarie”, ma di plusvalenze che derivano dalla gestione “ordinaria” della società sportiva, che si attua anche con la cessione dei contratti</w:t>
      </w:r>
      <w:r w:rsidR="00CB2072" w:rsidRPr="00CB2072">
        <w:rPr>
          <w:rFonts w:ascii="Times New Roman" w:hAnsi="Times New Roman" w:cs="Times New Roman"/>
          <w:bCs/>
          <w:i/>
          <w:sz w:val="24"/>
          <w:szCs w:val="24"/>
        </w:rPr>
        <w:t xml:space="preserve"> di prestazioni sportive, </w:t>
      </w:r>
      <w:proofErr w:type="spellStart"/>
      <w:r w:rsidR="00CB2072" w:rsidRPr="00CB2072">
        <w:rPr>
          <w:rFonts w:ascii="Times New Roman" w:hAnsi="Times New Roman" w:cs="Times New Roman"/>
          <w:bCs/>
          <w:i/>
          <w:sz w:val="24"/>
          <w:szCs w:val="24"/>
        </w:rPr>
        <w:t>sicchè</w:t>
      </w:r>
      <w:proofErr w:type="spellEnd"/>
      <w:r w:rsidR="00CB2072" w:rsidRPr="00CB2072">
        <w:rPr>
          <w:rFonts w:ascii="Times New Roman" w:hAnsi="Times New Roman" w:cs="Times New Roman"/>
          <w:bCs/>
          <w:i/>
          <w:sz w:val="24"/>
          <w:szCs w:val="24"/>
        </w:rPr>
        <w:t xml:space="preserve"> la questione risulta anche irrilevante”</w:t>
      </w:r>
      <w:r w:rsidR="00CB2072">
        <w:rPr>
          <w:rFonts w:ascii="Times New Roman" w:hAnsi="Times New Roman" w:cs="Times New Roman"/>
          <w:bCs/>
          <w:sz w:val="24"/>
          <w:szCs w:val="24"/>
        </w:rPr>
        <w:t>.</w:t>
      </w:r>
    </w:p>
    <w:p w:rsidR="00CB2072" w:rsidRDefault="00CB2072"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Corte prosegue concludendo che </w:t>
      </w:r>
      <w:r w:rsidRPr="00CB2072">
        <w:rPr>
          <w:rFonts w:ascii="Times New Roman" w:hAnsi="Times New Roman" w:cs="Times New Roman"/>
          <w:bCs/>
          <w:i/>
          <w:sz w:val="24"/>
          <w:szCs w:val="24"/>
        </w:rPr>
        <w:t>“il trasferimento di un calciatore, infatti, è un atto che rientra nella gestione di una squadra di calcio, rappresentando un evento collegato all’attività ordinaria del</w:t>
      </w:r>
      <w:r w:rsidR="00125F33">
        <w:rPr>
          <w:rFonts w:ascii="Times New Roman" w:hAnsi="Times New Roman" w:cs="Times New Roman"/>
          <w:bCs/>
          <w:i/>
          <w:sz w:val="24"/>
          <w:szCs w:val="24"/>
        </w:rPr>
        <w:t>la</w:t>
      </w:r>
      <w:r w:rsidRPr="00CB2072">
        <w:rPr>
          <w:rFonts w:ascii="Times New Roman" w:hAnsi="Times New Roman" w:cs="Times New Roman"/>
          <w:bCs/>
          <w:i/>
          <w:sz w:val="24"/>
          <w:szCs w:val="24"/>
        </w:rPr>
        <w:t xml:space="preserve"> società sportiva, </w:t>
      </w:r>
      <w:proofErr w:type="spellStart"/>
      <w:r w:rsidRPr="00CB2072">
        <w:rPr>
          <w:rFonts w:ascii="Times New Roman" w:hAnsi="Times New Roman" w:cs="Times New Roman"/>
          <w:bCs/>
          <w:i/>
          <w:sz w:val="24"/>
          <w:szCs w:val="24"/>
        </w:rPr>
        <w:t>sicchè</w:t>
      </w:r>
      <w:proofErr w:type="spellEnd"/>
      <w:r w:rsidRPr="00CB2072">
        <w:rPr>
          <w:rFonts w:ascii="Times New Roman" w:hAnsi="Times New Roman" w:cs="Times New Roman"/>
          <w:bCs/>
          <w:i/>
          <w:sz w:val="24"/>
          <w:szCs w:val="24"/>
        </w:rPr>
        <w:t xml:space="preserve"> le plusvalenze derivanti dall’alienazione di immobilizzazioni, quando la cessazione del bene costituisce un evento ordinario della gestione dell’impresa, fanno parte dei proventi ed oneri della gestione “ordinaria” </w:t>
      </w:r>
      <w:proofErr w:type="gramStart"/>
      <w:r w:rsidRPr="00CB2072">
        <w:rPr>
          <w:rFonts w:ascii="Times New Roman" w:hAnsi="Times New Roman" w:cs="Times New Roman"/>
          <w:bCs/>
          <w:i/>
          <w:sz w:val="24"/>
          <w:szCs w:val="24"/>
        </w:rPr>
        <w:t>accessoria..</w:t>
      </w:r>
      <w:proofErr w:type="gramEnd"/>
      <w:r w:rsidRPr="00CB2072">
        <w:rPr>
          <w:rFonts w:ascii="Times New Roman" w:hAnsi="Times New Roman" w:cs="Times New Roman"/>
          <w:bCs/>
          <w:i/>
          <w:sz w:val="24"/>
          <w:szCs w:val="24"/>
        </w:rPr>
        <w:t>”</w:t>
      </w:r>
      <w:r>
        <w:rPr>
          <w:rFonts w:ascii="Times New Roman" w:hAnsi="Times New Roman" w:cs="Times New Roman"/>
          <w:bCs/>
          <w:sz w:val="24"/>
          <w:szCs w:val="24"/>
        </w:rPr>
        <w:t>.</w:t>
      </w:r>
    </w:p>
    <w:p w:rsidR="00CB2072" w:rsidRDefault="00CB2072" w:rsidP="00A9789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Ciò posto, </w:t>
      </w:r>
      <w:r w:rsidRPr="00AF6DDC">
        <w:rPr>
          <w:rFonts w:ascii="Times New Roman" w:hAnsi="Times New Roman" w:cs="Times New Roman"/>
          <w:bCs/>
          <w:i/>
          <w:sz w:val="24"/>
          <w:szCs w:val="24"/>
        </w:rPr>
        <w:t>“nel conto economico di cui all’art.2425 c.c. le plusvalenze di questa tipologia vanno imputate</w:t>
      </w:r>
      <w:r w:rsidR="00AF6DDC" w:rsidRPr="00AF6DDC">
        <w:rPr>
          <w:rFonts w:ascii="Times New Roman" w:hAnsi="Times New Roman" w:cs="Times New Roman"/>
          <w:bCs/>
          <w:i/>
          <w:sz w:val="24"/>
          <w:szCs w:val="24"/>
        </w:rPr>
        <w:t xml:space="preserve"> alla voce “valore della produzione”</w:t>
      </w:r>
      <w:r w:rsidR="00A83CE2">
        <w:rPr>
          <w:rFonts w:ascii="Times New Roman" w:hAnsi="Times New Roman" w:cs="Times New Roman"/>
          <w:bCs/>
          <w:i/>
          <w:sz w:val="24"/>
          <w:szCs w:val="24"/>
        </w:rPr>
        <w:t xml:space="preserve"> </w:t>
      </w:r>
      <w:r w:rsidR="00AF6DDC" w:rsidRPr="00AF6DDC">
        <w:rPr>
          <w:rFonts w:ascii="Times New Roman" w:hAnsi="Times New Roman" w:cs="Times New Roman"/>
          <w:bCs/>
          <w:i/>
          <w:sz w:val="24"/>
          <w:szCs w:val="24"/>
        </w:rPr>
        <w:t>A5 “ricavi e proventi” e non alla voce E “proventi ed oneri”</w:t>
      </w:r>
      <w:r w:rsidR="00AF6DDC">
        <w:rPr>
          <w:rFonts w:ascii="Times New Roman" w:hAnsi="Times New Roman" w:cs="Times New Roman"/>
          <w:bCs/>
          <w:sz w:val="24"/>
          <w:szCs w:val="24"/>
        </w:rPr>
        <w:t>.</w:t>
      </w:r>
    </w:p>
    <w:p w:rsidR="009B2DEF" w:rsidRPr="00A97895" w:rsidRDefault="009B2DEF" w:rsidP="00A97895">
      <w:pPr>
        <w:spacing w:after="0" w:line="360" w:lineRule="auto"/>
        <w:jc w:val="both"/>
        <w:rPr>
          <w:rFonts w:ascii="Times New Roman" w:hAnsi="Times New Roman" w:cs="Times New Roman"/>
          <w:bCs/>
          <w:sz w:val="24"/>
          <w:szCs w:val="24"/>
        </w:rPr>
      </w:pPr>
    </w:p>
    <w:p w:rsidR="009D7634" w:rsidRDefault="009D7634" w:rsidP="00946D99">
      <w:pPr>
        <w:autoSpaceDE w:val="0"/>
        <w:spacing w:after="0" w:line="360" w:lineRule="auto"/>
        <w:jc w:val="both"/>
        <w:rPr>
          <w:rFonts w:ascii="Times New Roman" w:eastAsia="Times New Roman" w:hAnsi="Times New Roman" w:cs="Times New Roman"/>
          <w:b/>
          <w:color w:val="000000"/>
          <w:sz w:val="24"/>
          <w:szCs w:val="24"/>
          <w:lang w:eastAsia="it-IT"/>
        </w:rPr>
      </w:pPr>
    </w:p>
    <w:p w:rsidR="00946D99" w:rsidRPr="00946D99" w:rsidRDefault="00946D99" w:rsidP="00946D99">
      <w:pPr>
        <w:autoSpaceDE w:val="0"/>
        <w:spacing w:after="0" w:line="360" w:lineRule="auto"/>
        <w:jc w:val="both"/>
        <w:rPr>
          <w:rFonts w:ascii="Times New Roman" w:eastAsia="Times New Roman" w:hAnsi="Times New Roman" w:cs="Times New Roman"/>
          <w:b/>
          <w:color w:val="000000"/>
          <w:sz w:val="24"/>
          <w:szCs w:val="24"/>
          <w:lang w:eastAsia="it-IT"/>
        </w:rPr>
      </w:pPr>
      <w:proofErr w:type="gramStart"/>
      <w:r w:rsidRPr="00946D99">
        <w:rPr>
          <w:rFonts w:ascii="Times New Roman" w:eastAsia="Times New Roman" w:hAnsi="Times New Roman" w:cs="Times New Roman"/>
          <w:b/>
          <w:color w:val="000000"/>
          <w:sz w:val="24"/>
          <w:szCs w:val="24"/>
          <w:lang w:eastAsia="it-IT"/>
        </w:rPr>
        <w:t xml:space="preserve">Lecce,  </w:t>
      </w:r>
      <w:r w:rsidR="007876F4">
        <w:rPr>
          <w:rFonts w:ascii="Times New Roman" w:eastAsia="Times New Roman" w:hAnsi="Times New Roman" w:cs="Times New Roman"/>
          <w:b/>
          <w:color w:val="000000"/>
          <w:sz w:val="24"/>
          <w:szCs w:val="24"/>
          <w:lang w:eastAsia="it-IT"/>
        </w:rPr>
        <w:t>0</w:t>
      </w:r>
      <w:r>
        <w:rPr>
          <w:rFonts w:ascii="Times New Roman" w:eastAsia="Times New Roman" w:hAnsi="Times New Roman" w:cs="Times New Roman"/>
          <w:b/>
          <w:color w:val="000000"/>
          <w:sz w:val="24"/>
          <w:szCs w:val="24"/>
          <w:lang w:eastAsia="it-IT"/>
        </w:rPr>
        <w:t>7</w:t>
      </w:r>
      <w:proofErr w:type="gramEnd"/>
      <w:r>
        <w:rPr>
          <w:rFonts w:ascii="Times New Roman" w:eastAsia="Times New Roman" w:hAnsi="Times New Roman" w:cs="Times New Roman"/>
          <w:b/>
          <w:color w:val="000000"/>
          <w:sz w:val="24"/>
          <w:szCs w:val="24"/>
          <w:lang w:eastAsia="it-IT"/>
        </w:rPr>
        <w:t xml:space="preserve"> febbraio 2019</w:t>
      </w:r>
      <w:r w:rsidRPr="00946D99">
        <w:rPr>
          <w:rFonts w:ascii="Times New Roman" w:eastAsia="Times New Roman" w:hAnsi="Times New Roman" w:cs="Times New Roman"/>
          <w:b/>
          <w:color w:val="000000"/>
          <w:sz w:val="24"/>
          <w:szCs w:val="24"/>
          <w:lang w:eastAsia="it-IT"/>
        </w:rPr>
        <w:t xml:space="preserve">                                                     Avv. Maurizio Villani</w:t>
      </w:r>
    </w:p>
    <w:p w:rsidR="00946D99" w:rsidRPr="00946D99" w:rsidRDefault="00946D99" w:rsidP="00946D99">
      <w:pPr>
        <w:autoSpaceDE w:val="0"/>
        <w:spacing w:after="0" w:line="360" w:lineRule="auto"/>
        <w:ind w:left="4956"/>
        <w:jc w:val="both"/>
        <w:rPr>
          <w:rFonts w:ascii="Times New Roman" w:eastAsia="Times New Roman" w:hAnsi="Times New Roman" w:cs="Times New Roman"/>
          <w:b/>
          <w:color w:val="000000"/>
          <w:sz w:val="24"/>
          <w:szCs w:val="24"/>
          <w:lang w:eastAsia="it-IT"/>
        </w:rPr>
      </w:pPr>
      <w:r w:rsidRPr="00946D99">
        <w:rPr>
          <w:rFonts w:ascii="Times New Roman" w:eastAsia="Times New Roman" w:hAnsi="Times New Roman" w:cs="Times New Roman"/>
          <w:b/>
          <w:color w:val="000000"/>
          <w:sz w:val="24"/>
          <w:szCs w:val="24"/>
          <w:lang w:eastAsia="it-IT"/>
        </w:rPr>
        <w:t xml:space="preserve">          Avv. Lucia Morciano</w:t>
      </w:r>
    </w:p>
    <w:p w:rsidR="00946D99" w:rsidRPr="00946D99" w:rsidRDefault="00946D99" w:rsidP="00946D99">
      <w:pPr>
        <w:autoSpaceDE w:val="0"/>
        <w:spacing w:after="0" w:line="360" w:lineRule="auto"/>
        <w:ind w:left="4956"/>
        <w:jc w:val="both"/>
        <w:rPr>
          <w:rFonts w:ascii="Times New Roman" w:eastAsia="Times New Roman" w:hAnsi="Times New Roman" w:cs="Times New Roman"/>
          <w:b/>
          <w:color w:val="000000"/>
          <w:sz w:val="24"/>
          <w:szCs w:val="24"/>
          <w:lang w:eastAsia="it-IT"/>
        </w:rPr>
      </w:pPr>
    </w:p>
    <w:p w:rsidR="00946D99" w:rsidRPr="00946D99" w:rsidRDefault="00946D99" w:rsidP="00946D99">
      <w:pPr>
        <w:spacing w:after="200" w:line="276" w:lineRule="auto"/>
        <w:rPr>
          <w:rFonts w:ascii="Calibri" w:eastAsia="Calibri" w:hAnsi="Calibri" w:cs="Times New Roman"/>
          <w:b/>
          <w:sz w:val="28"/>
          <w:szCs w:val="28"/>
        </w:rPr>
      </w:pPr>
    </w:p>
    <w:p w:rsidR="00946D99" w:rsidRPr="00946D99" w:rsidRDefault="00946D99" w:rsidP="00946D99">
      <w:pPr>
        <w:spacing w:after="0" w:line="360" w:lineRule="auto"/>
        <w:jc w:val="center"/>
        <w:rPr>
          <w:rFonts w:ascii="Calibri" w:eastAsia="Calibri" w:hAnsi="Calibri" w:cs="Times New Roman"/>
          <w:b/>
          <w:bCs/>
          <w:sz w:val="28"/>
          <w:szCs w:val="28"/>
        </w:rPr>
      </w:pPr>
      <w:r w:rsidRPr="00946D99">
        <w:rPr>
          <w:rFonts w:ascii="Calibri" w:eastAsia="Calibri" w:hAnsi="Calibri" w:cs="Times New Roman"/>
          <w:b/>
          <w:bCs/>
          <w:sz w:val="28"/>
          <w:szCs w:val="28"/>
        </w:rPr>
        <w:t>AVV. MAURIZIO VILLANI</w:t>
      </w:r>
    </w:p>
    <w:p w:rsidR="00946D99" w:rsidRPr="00946D99" w:rsidRDefault="00946D99" w:rsidP="00946D99">
      <w:pPr>
        <w:spacing w:after="0" w:line="360" w:lineRule="auto"/>
        <w:jc w:val="center"/>
        <w:rPr>
          <w:rFonts w:ascii="Calibri" w:eastAsia="Calibri" w:hAnsi="Calibri" w:cs="Times New Roman"/>
          <w:b/>
          <w:bCs/>
          <w:sz w:val="28"/>
          <w:szCs w:val="28"/>
        </w:rPr>
      </w:pPr>
      <w:r w:rsidRPr="00946D99">
        <w:rPr>
          <w:rFonts w:ascii="Calibri" w:eastAsia="Calibri" w:hAnsi="Calibri" w:cs="Times New Roman"/>
          <w:b/>
          <w:bCs/>
          <w:sz w:val="28"/>
          <w:szCs w:val="28"/>
        </w:rPr>
        <w:t>Avvocato Tributarista in Lecce</w:t>
      </w:r>
    </w:p>
    <w:p w:rsidR="00946D99" w:rsidRPr="00946D99" w:rsidRDefault="00946D99" w:rsidP="00946D99">
      <w:pPr>
        <w:spacing w:after="0" w:line="360" w:lineRule="auto"/>
        <w:jc w:val="center"/>
        <w:rPr>
          <w:rFonts w:ascii="Calibri" w:eastAsia="Calibri" w:hAnsi="Calibri" w:cs="Times New Roman"/>
          <w:b/>
          <w:sz w:val="28"/>
          <w:szCs w:val="28"/>
        </w:rPr>
      </w:pPr>
      <w:r w:rsidRPr="00946D99">
        <w:rPr>
          <w:rFonts w:ascii="Calibri" w:eastAsia="Calibri" w:hAnsi="Calibri" w:cs="Times New Roman"/>
          <w:b/>
          <w:sz w:val="28"/>
          <w:szCs w:val="28"/>
        </w:rPr>
        <w:t>Patrocinante in Cassazione</w:t>
      </w:r>
    </w:p>
    <w:p w:rsidR="00946D99" w:rsidRPr="00946D99" w:rsidRDefault="004A21AB" w:rsidP="00946D99">
      <w:pPr>
        <w:spacing w:after="0" w:line="360" w:lineRule="auto"/>
        <w:jc w:val="center"/>
        <w:rPr>
          <w:rFonts w:ascii="Calibri" w:eastAsia="Calibri" w:hAnsi="Calibri" w:cs="Times New Roman"/>
          <w:b/>
          <w:bCs/>
          <w:sz w:val="28"/>
          <w:szCs w:val="28"/>
        </w:rPr>
      </w:pPr>
      <w:hyperlink r:id="rId8" w:history="1">
        <w:r w:rsidR="00946D99" w:rsidRPr="00946D99">
          <w:rPr>
            <w:rFonts w:ascii="Calibri" w:eastAsia="Calibri" w:hAnsi="Calibri" w:cs="Times New Roman"/>
            <w:color w:val="0563C1"/>
            <w:sz w:val="28"/>
            <w:szCs w:val="28"/>
            <w:u w:val="single"/>
          </w:rPr>
          <w:t>www.studiotributariovillani.it</w:t>
        </w:r>
      </w:hyperlink>
      <w:r w:rsidR="00946D99" w:rsidRPr="00946D99">
        <w:rPr>
          <w:rFonts w:ascii="Calibri" w:eastAsia="Calibri" w:hAnsi="Calibri" w:cs="Times New Roman"/>
          <w:b/>
          <w:bCs/>
          <w:sz w:val="28"/>
          <w:szCs w:val="28"/>
        </w:rPr>
        <w:t xml:space="preserve"> - e-mail </w:t>
      </w:r>
      <w:hyperlink r:id="rId9" w:history="1">
        <w:r w:rsidR="00946D99" w:rsidRPr="00946D99">
          <w:rPr>
            <w:rFonts w:ascii="Calibri" w:eastAsia="Calibri" w:hAnsi="Calibri" w:cs="Times New Roman"/>
            <w:color w:val="0563C1"/>
            <w:sz w:val="28"/>
            <w:szCs w:val="28"/>
            <w:u w:val="single"/>
          </w:rPr>
          <w:t>avvocato@studiotributariovillani.it</w:t>
        </w:r>
      </w:hyperlink>
    </w:p>
    <w:p w:rsidR="00946D99" w:rsidRPr="00946D99" w:rsidRDefault="00946D99" w:rsidP="00946D99">
      <w:pPr>
        <w:autoSpaceDE w:val="0"/>
        <w:spacing w:after="0" w:line="360" w:lineRule="auto"/>
        <w:ind w:left="4956"/>
        <w:jc w:val="both"/>
        <w:rPr>
          <w:rFonts w:ascii="Times New Roman" w:eastAsia="Calibri" w:hAnsi="Times New Roman" w:cs="Times New Roman"/>
          <w:color w:val="FF0000"/>
          <w:sz w:val="28"/>
          <w:szCs w:val="28"/>
        </w:rPr>
      </w:pPr>
    </w:p>
    <w:p w:rsidR="00201D36" w:rsidRPr="003A21EB" w:rsidRDefault="00201D36" w:rsidP="009A0B80">
      <w:pPr>
        <w:spacing w:after="0" w:line="360" w:lineRule="auto"/>
        <w:jc w:val="both"/>
        <w:rPr>
          <w:rFonts w:ascii="Times New Roman" w:hAnsi="Times New Roman" w:cs="Times New Roman"/>
          <w:sz w:val="24"/>
          <w:szCs w:val="24"/>
        </w:rPr>
      </w:pPr>
    </w:p>
    <w:p w:rsidR="003A21EB" w:rsidRDefault="003A21EB" w:rsidP="00745CC9">
      <w:pPr>
        <w:spacing w:after="75" w:line="240" w:lineRule="auto"/>
        <w:rPr>
          <w:rFonts w:ascii="Verdana" w:eastAsia="Times New Roman" w:hAnsi="Verdana" w:cs="Times New Roman"/>
          <w:b/>
          <w:bCs/>
          <w:color w:val="A80000"/>
          <w:sz w:val="18"/>
          <w:szCs w:val="18"/>
          <w:lang w:eastAsia="it-IT"/>
        </w:rPr>
      </w:pPr>
    </w:p>
    <w:p w:rsidR="003A21EB" w:rsidRDefault="003A21EB" w:rsidP="00745CC9">
      <w:pPr>
        <w:spacing w:after="75" w:line="240" w:lineRule="auto"/>
        <w:rPr>
          <w:rFonts w:ascii="Verdana" w:eastAsia="Times New Roman" w:hAnsi="Verdana" w:cs="Times New Roman"/>
          <w:b/>
          <w:bCs/>
          <w:color w:val="A80000"/>
          <w:sz w:val="18"/>
          <w:szCs w:val="18"/>
          <w:lang w:eastAsia="it-IT"/>
        </w:rPr>
      </w:pPr>
    </w:p>
    <w:p w:rsidR="003A21EB" w:rsidRDefault="003A21EB"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503516" w:rsidRDefault="00503516" w:rsidP="00745CC9">
      <w:pPr>
        <w:spacing w:after="75" w:line="240" w:lineRule="auto"/>
        <w:rPr>
          <w:rFonts w:ascii="Verdana" w:eastAsia="Times New Roman" w:hAnsi="Verdana" w:cs="Times New Roman"/>
          <w:b/>
          <w:bCs/>
          <w:color w:val="A80000"/>
          <w:sz w:val="18"/>
          <w:szCs w:val="18"/>
          <w:lang w:eastAsia="it-IT"/>
        </w:rPr>
      </w:pPr>
    </w:p>
    <w:p w:rsidR="0006040D" w:rsidRPr="0006040D" w:rsidRDefault="0006040D" w:rsidP="0006040D">
      <w:pPr>
        <w:jc w:val="both"/>
        <w:rPr>
          <w:rFonts w:ascii="Times New Roman" w:hAnsi="Times New Roman" w:cs="Times New Roman"/>
          <w:b/>
          <w:sz w:val="24"/>
          <w:szCs w:val="24"/>
        </w:rPr>
      </w:pPr>
    </w:p>
    <w:sectPr w:rsidR="0006040D" w:rsidRPr="0006040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AB" w:rsidRDefault="004A21AB" w:rsidP="00503516">
      <w:pPr>
        <w:spacing w:after="0" w:line="240" w:lineRule="auto"/>
      </w:pPr>
      <w:r>
        <w:separator/>
      </w:r>
    </w:p>
  </w:endnote>
  <w:endnote w:type="continuationSeparator" w:id="0">
    <w:p w:rsidR="004A21AB" w:rsidRDefault="004A21AB" w:rsidP="0050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51493"/>
      <w:docPartObj>
        <w:docPartGallery w:val="Page Numbers (Bottom of Page)"/>
        <w:docPartUnique/>
      </w:docPartObj>
    </w:sdtPr>
    <w:sdtEndPr/>
    <w:sdtContent>
      <w:p w:rsidR="00503516" w:rsidRDefault="00503516">
        <w:pPr>
          <w:pStyle w:val="Pidipagina"/>
          <w:jc w:val="center"/>
        </w:pPr>
        <w:r>
          <w:fldChar w:fldCharType="begin"/>
        </w:r>
        <w:r>
          <w:instrText>PAGE   \* MERGEFORMAT</w:instrText>
        </w:r>
        <w:r>
          <w:fldChar w:fldCharType="separate"/>
        </w:r>
        <w:r>
          <w:t>2</w:t>
        </w:r>
        <w:r>
          <w:fldChar w:fldCharType="end"/>
        </w:r>
      </w:p>
    </w:sdtContent>
  </w:sdt>
  <w:p w:rsidR="00503516" w:rsidRDefault="005035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AB" w:rsidRDefault="004A21AB" w:rsidP="00503516">
      <w:pPr>
        <w:spacing w:after="0" w:line="240" w:lineRule="auto"/>
      </w:pPr>
      <w:r>
        <w:separator/>
      </w:r>
    </w:p>
  </w:footnote>
  <w:footnote w:type="continuationSeparator" w:id="0">
    <w:p w:rsidR="004A21AB" w:rsidRDefault="004A21AB" w:rsidP="0050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09EF"/>
    <w:multiLevelType w:val="hybridMultilevel"/>
    <w:tmpl w:val="7EA2A0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EF"/>
    <w:rsid w:val="0006040D"/>
    <w:rsid w:val="0006450C"/>
    <w:rsid w:val="0009732A"/>
    <w:rsid w:val="000E194C"/>
    <w:rsid w:val="0011416F"/>
    <w:rsid w:val="00125F33"/>
    <w:rsid w:val="001455B5"/>
    <w:rsid w:val="00157B44"/>
    <w:rsid w:val="00197022"/>
    <w:rsid w:val="001F7160"/>
    <w:rsid w:val="00201D36"/>
    <w:rsid w:val="0024343E"/>
    <w:rsid w:val="00257621"/>
    <w:rsid w:val="00271CE9"/>
    <w:rsid w:val="003224A9"/>
    <w:rsid w:val="003A21EB"/>
    <w:rsid w:val="003A6FB1"/>
    <w:rsid w:val="00407911"/>
    <w:rsid w:val="004335B3"/>
    <w:rsid w:val="00464B8E"/>
    <w:rsid w:val="004A21AB"/>
    <w:rsid w:val="004C47EC"/>
    <w:rsid w:val="004F5D1A"/>
    <w:rsid w:val="00503516"/>
    <w:rsid w:val="0052082C"/>
    <w:rsid w:val="005A18DF"/>
    <w:rsid w:val="005A23B0"/>
    <w:rsid w:val="00636E42"/>
    <w:rsid w:val="0065226D"/>
    <w:rsid w:val="00676112"/>
    <w:rsid w:val="0069626C"/>
    <w:rsid w:val="006A732B"/>
    <w:rsid w:val="00745CC9"/>
    <w:rsid w:val="007876F4"/>
    <w:rsid w:val="007A05DD"/>
    <w:rsid w:val="00876609"/>
    <w:rsid w:val="008B1E94"/>
    <w:rsid w:val="00914500"/>
    <w:rsid w:val="00946D99"/>
    <w:rsid w:val="00985960"/>
    <w:rsid w:val="009A0B80"/>
    <w:rsid w:val="009B2DEF"/>
    <w:rsid w:val="009D7634"/>
    <w:rsid w:val="00A066EF"/>
    <w:rsid w:val="00A5212E"/>
    <w:rsid w:val="00A708BD"/>
    <w:rsid w:val="00A83CE2"/>
    <w:rsid w:val="00A90064"/>
    <w:rsid w:val="00A97895"/>
    <w:rsid w:val="00AA7BAD"/>
    <w:rsid w:val="00AF6DDC"/>
    <w:rsid w:val="00C17A58"/>
    <w:rsid w:val="00C522AC"/>
    <w:rsid w:val="00CB2072"/>
    <w:rsid w:val="00CF7A4C"/>
    <w:rsid w:val="00D00D89"/>
    <w:rsid w:val="00DC08C6"/>
    <w:rsid w:val="00DC53F2"/>
    <w:rsid w:val="00E5598F"/>
    <w:rsid w:val="00E8061C"/>
    <w:rsid w:val="00E91028"/>
    <w:rsid w:val="00F27EB4"/>
    <w:rsid w:val="00F40B87"/>
    <w:rsid w:val="00FD4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C10C3-48E3-47E8-A6BA-F634622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7B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rganosedegiurisprudenza">
    <w:name w:val="organosedegiurisprudenza"/>
    <w:basedOn w:val="Carpredefinitoparagrafo"/>
    <w:rsid w:val="003A21EB"/>
  </w:style>
  <w:style w:type="character" w:customStyle="1" w:styleId="wordsearch">
    <w:name w:val="wordsearch"/>
    <w:basedOn w:val="Carpredefinitoparagrafo"/>
    <w:rsid w:val="003A21EB"/>
  </w:style>
  <w:style w:type="character" w:customStyle="1" w:styleId="tipoprovgiurisprudenza">
    <w:name w:val="tipoprovgiurisprudenza"/>
    <w:basedOn w:val="Carpredefinitoparagrafo"/>
    <w:rsid w:val="003A21EB"/>
  </w:style>
  <w:style w:type="paragraph" w:styleId="Intestazione">
    <w:name w:val="header"/>
    <w:basedOn w:val="Normale"/>
    <w:link w:val="IntestazioneCarattere"/>
    <w:uiPriority w:val="99"/>
    <w:unhideWhenUsed/>
    <w:rsid w:val="00503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516"/>
  </w:style>
  <w:style w:type="paragraph" w:styleId="Pidipagina">
    <w:name w:val="footer"/>
    <w:basedOn w:val="Normale"/>
    <w:link w:val="PidipaginaCarattere"/>
    <w:uiPriority w:val="99"/>
    <w:unhideWhenUsed/>
    <w:rsid w:val="00503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516"/>
  </w:style>
  <w:style w:type="paragraph" w:styleId="Paragrafoelenco">
    <w:name w:val="List Paragraph"/>
    <w:basedOn w:val="Normale"/>
    <w:uiPriority w:val="34"/>
    <w:qFormat/>
    <w:rsid w:val="00A9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3245">
      <w:bodyDiv w:val="1"/>
      <w:marLeft w:val="0"/>
      <w:marRight w:val="0"/>
      <w:marTop w:val="0"/>
      <w:marBottom w:val="0"/>
      <w:divBdr>
        <w:top w:val="none" w:sz="0" w:space="0" w:color="auto"/>
        <w:left w:val="none" w:sz="0" w:space="0" w:color="auto"/>
        <w:bottom w:val="none" w:sz="0" w:space="0" w:color="auto"/>
        <w:right w:val="none" w:sz="0" w:space="0" w:color="auto"/>
      </w:divBdr>
      <w:divsChild>
        <w:div w:id="798574171">
          <w:marLeft w:val="120"/>
          <w:marRight w:val="75"/>
          <w:marTop w:val="75"/>
          <w:marBottom w:val="75"/>
          <w:divBdr>
            <w:top w:val="none" w:sz="0" w:space="0" w:color="auto"/>
            <w:left w:val="none" w:sz="0" w:space="0" w:color="auto"/>
            <w:bottom w:val="none" w:sz="0" w:space="0" w:color="auto"/>
            <w:right w:val="none" w:sz="0" w:space="0" w:color="auto"/>
          </w:divBdr>
        </w:div>
        <w:div w:id="469598004">
          <w:marLeft w:val="120"/>
          <w:marRight w:val="75"/>
          <w:marTop w:val="75"/>
          <w:marBottom w:val="75"/>
          <w:divBdr>
            <w:top w:val="none" w:sz="0" w:space="0" w:color="auto"/>
            <w:left w:val="none" w:sz="0" w:space="0" w:color="auto"/>
            <w:bottom w:val="none" w:sz="0" w:space="0" w:color="auto"/>
            <w:right w:val="none" w:sz="0" w:space="0" w:color="auto"/>
          </w:divBdr>
        </w:div>
      </w:divsChild>
    </w:div>
    <w:div w:id="833033041">
      <w:bodyDiv w:val="1"/>
      <w:marLeft w:val="0"/>
      <w:marRight w:val="0"/>
      <w:marTop w:val="0"/>
      <w:marBottom w:val="0"/>
      <w:divBdr>
        <w:top w:val="none" w:sz="0" w:space="0" w:color="auto"/>
        <w:left w:val="none" w:sz="0" w:space="0" w:color="auto"/>
        <w:bottom w:val="none" w:sz="0" w:space="0" w:color="auto"/>
        <w:right w:val="none" w:sz="0" w:space="0" w:color="auto"/>
      </w:divBdr>
      <w:divsChild>
        <w:div w:id="1130632140">
          <w:marLeft w:val="120"/>
          <w:marRight w:val="75"/>
          <w:marTop w:val="75"/>
          <w:marBottom w:val="75"/>
          <w:divBdr>
            <w:top w:val="none" w:sz="0" w:space="0" w:color="auto"/>
            <w:left w:val="none" w:sz="0" w:space="0" w:color="auto"/>
            <w:bottom w:val="none" w:sz="0" w:space="0" w:color="auto"/>
            <w:right w:val="none" w:sz="0" w:space="0" w:color="auto"/>
          </w:divBdr>
        </w:div>
        <w:div w:id="169955532">
          <w:marLeft w:val="120"/>
          <w:marRight w:val="75"/>
          <w:marTop w:val="75"/>
          <w:marBottom w:val="75"/>
          <w:divBdr>
            <w:top w:val="none" w:sz="0" w:space="0" w:color="auto"/>
            <w:left w:val="none" w:sz="0" w:space="0" w:color="auto"/>
            <w:bottom w:val="none" w:sz="0" w:space="0" w:color="auto"/>
            <w:right w:val="none" w:sz="0" w:space="0" w:color="auto"/>
          </w:divBdr>
        </w:div>
      </w:divsChild>
    </w:div>
    <w:div w:id="1896963328">
      <w:bodyDiv w:val="1"/>
      <w:marLeft w:val="0"/>
      <w:marRight w:val="0"/>
      <w:marTop w:val="0"/>
      <w:marBottom w:val="0"/>
      <w:divBdr>
        <w:top w:val="none" w:sz="0" w:space="0" w:color="auto"/>
        <w:left w:val="none" w:sz="0" w:space="0" w:color="auto"/>
        <w:bottom w:val="none" w:sz="0" w:space="0" w:color="auto"/>
        <w:right w:val="none" w:sz="0" w:space="0" w:color="auto"/>
      </w:divBdr>
    </w:div>
    <w:div w:id="1991054683">
      <w:bodyDiv w:val="1"/>
      <w:marLeft w:val="0"/>
      <w:marRight w:val="0"/>
      <w:marTop w:val="0"/>
      <w:marBottom w:val="0"/>
      <w:divBdr>
        <w:top w:val="none" w:sz="0" w:space="0" w:color="auto"/>
        <w:left w:val="none" w:sz="0" w:space="0" w:color="auto"/>
        <w:bottom w:val="none" w:sz="0" w:space="0" w:color="auto"/>
        <w:right w:val="none" w:sz="0" w:space="0" w:color="auto"/>
      </w:divBdr>
      <w:divsChild>
        <w:div w:id="840004021">
          <w:marLeft w:val="120"/>
          <w:marRight w:val="75"/>
          <w:marTop w:val="75"/>
          <w:marBottom w:val="75"/>
          <w:divBdr>
            <w:top w:val="none" w:sz="0" w:space="0" w:color="auto"/>
            <w:left w:val="none" w:sz="0" w:space="0" w:color="auto"/>
            <w:bottom w:val="none" w:sz="0" w:space="0" w:color="auto"/>
            <w:right w:val="none" w:sz="0" w:space="0" w:color="auto"/>
          </w:divBdr>
        </w:div>
        <w:div w:id="1445342968">
          <w:marLeft w:val="120"/>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2716-8809-4714-8AD0-0C4903BE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Morciano</dc:creator>
  <cp:keywords/>
  <dc:description/>
  <cp:lastModifiedBy>utente</cp:lastModifiedBy>
  <cp:revision>2</cp:revision>
  <dcterms:created xsi:type="dcterms:W3CDTF">2019-02-11T09:49:00Z</dcterms:created>
  <dcterms:modified xsi:type="dcterms:W3CDTF">2019-02-11T09:49:00Z</dcterms:modified>
</cp:coreProperties>
</file>