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284CB" w14:textId="4DA34143" w:rsidR="008E4587" w:rsidRPr="00336493" w:rsidRDefault="00243687" w:rsidP="00BF7B70">
      <w:pPr>
        <w:jc w:val="center"/>
        <w:rPr>
          <w:b/>
          <w:bCs/>
          <w:sz w:val="56"/>
          <w:szCs w:val="56"/>
        </w:rPr>
      </w:pPr>
      <w:bookmarkStart w:id="0" w:name="_GoBack"/>
      <w:bookmarkEnd w:id="0"/>
      <w:r w:rsidRPr="00336493">
        <w:rPr>
          <w:b/>
          <w:bCs/>
          <w:sz w:val="56"/>
          <w:szCs w:val="56"/>
        </w:rPr>
        <w:t>CASSAZIONE E STUDI DI SETTORE</w:t>
      </w:r>
    </w:p>
    <w:p w14:paraId="54ED1E9C" w14:textId="27768BBD" w:rsidR="00BF7B70" w:rsidRPr="00BF7B70" w:rsidRDefault="00BF7B70" w:rsidP="00BF7B70">
      <w:pPr>
        <w:spacing w:after="0" w:line="360" w:lineRule="auto"/>
        <w:jc w:val="both"/>
        <w:rPr>
          <w:sz w:val="28"/>
          <w:szCs w:val="28"/>
        </w:rPr>
      </w:pPr>
      <w:r>
        <w:rPr>
          <w:sz w:val="28"/>
          <w:szCs w:val="28"/>
        </w:rPr>
        <w:t>S</w:t>
      </w:r>
      <w:r w:rsidRPr="00BF7B70">
        <w:rPr>
          <w:sz w:val="28"/>
          <w:szCs w:val="28"/>
        </w:rPr>
        <w:t xml:space="preserve">econdo il principio consolidato nella giurisprudenza </w:t>
      </w:r>
      <w:r w:rsidR="00530958">
        <w:rPr>
          <w:sz w:val="28"/>
          <w:szCs w:val="28"/>
        </w:rPr>
        <w:t>della</w:t>
      </w:r>
      <w:r w:rsidRPr="00BF7B70">
        <w:rPr>
          <w:sz w:val="28"/>
          <w:szCs w:val="28"/>
        </w:rPr>
        <w:t xml:space="preserve"> Corte</w:t>
      </w:r>
      <w:r w:rsidR="00530958">
        <w:rPr>
          <w:sz w:val="28"/>
          <w:szCs w:val="28"/>
        </w:rPr>
        <w:t xml:space="preserve"> di Cassazione</w:t>
      </w:r>
      <w:r w:rsidRPr="00BF7B70">
        <w:rPr>
          <w:sz w:val="28"/>
          <w:szCs w:val="28"/>
        </w:rPr>
        <w:t xml:space="preserve">, la procedura di accertamento tributario standardizzato mediante l'applicazione dei parametri o degli studi di settore costituisce un sistema di presunzioni semplici, la cui gravità, precisione e concordanza non è </w:t>
      </w:r>
      <w:r w:rsidRPr="0041250C">
        <w:rPr>
          <w:sz w:val="28"/>
          <w:szCs w:val="28"/>
        </w:rPr>
        <w:t>ex lege</w:t>
      </w:r>
      <w:r w:rsidRPr="00BF7B70">
        <w:rPr>
          <w:i/>
          <w:iCs/>
          <w:sz w:val="28"/>
          <w:szCs w:val="28"/>
        </w:rPr>
        <w:t xml:space="preserve"> </w:t>
      </w:r>
      <w:r w:rsidRPr="00BF7B70">
        <w:rPr>
          <w:sz w:val="28"/>
          <w:szCs w:val="28"/>
        </w:rPr>
        <w:t xml:space="preserve">determinata dallo scostamento dei ricavi dichiarati rispetto agli </w:t>
      </w:r>
      <w:r w:rsidRPr="0041250C">
        <w:rPr>
          <w:sz w:val="28"/>
          <w:szCs w:val="28"/>
        </w:rPr>
        <w:t>standards</w:t>
      </w:r>
      <w:r w:rsidR="00530958">
        <w:rPr>
          <w:sz w:val="28"/>
          <w:szCs w:val="28"/>
        </w:rPr>
        <w:t>,</w:t>
      </w:r>
      <w:r w:rsidRPr="00BF7B70">
        <w:rPr>
          <w:i/>
          <w:iCs/>
          <w:sz w:val="28"/>
          <w:szCs w:val="28"/>
        </w:rPr>
        <w:t xml:space="preserve"> </w:t>
      </w:r>
      <w:r w:rsidRPr="00BF7B70">
        <w:rPr>
          <w:sz w:val="28"/>
          <w:szCs w:val="28"/>
        </w:rPr>
        <w:t>in sé considerati meri strumenti di ricostruzione per elaborazione statistica della normale redditività</w:t>
      </w:r>
      <w:r w:rsidR="00530958">
        <w:rPr>
          <w:sz w:val="28"/>
          <w:szCs w:val="28"/>
        </w:rPr>
        <w:t>,</w:t>
      </w:r>
      <w:r w:rsidRPr="00BF7B70">
        <w:rPr>
          <w:sz w:val="28"/>
          <w:szCs w:val="28"/>
        </w:rPr>
        <w:t xml:space="preserve"> ma nasce solo in esito al contraddittorio da attivare obbligatoriamente, pena la nullità dell'accertamento, con il contribuente</w:t>
      </w:r>
      <w:r w:rsidR="0041250C">
        <w:rPr>
          <w:sz w:val="28"/>
          <w:szCs w:val="28"/>
        </w:rPr>
        <w:t>.</w:t>
      </w:r>
    </w:p>
    <w:p w14:paraId="27BC2FB9" w14:textId="77777777" w:rsidR="00BF7B70" w:rsidRPr="00530958" w:rsidRDefault="0041250C" w:rsidP="00BF7B70">
      <w:pPr>
        <w:spacing w:after="0" w:line="360" w:lineRule="auto"/>
        <w:jc w:val="both"/>
        <w:rPr>
          <w:b/>
          <w:bCs/>
          <w:sz w:val="28"/>
          <w:szCs w:val="28"/>
        </w:rPr>
      </w:pPr>
      <w:r w:rsidRPr="00530958">
        <w:rPr>
          <w:b/>
          <w:bCs/>
          <w:sz w:val="28"/>
          <w:szCs w:val="28"/>
        </w:rPr>
        <w:t>G</w:t>
      </w:r>
      <w:r w:rsidR="00BF7B70" w:rsidRPr="00530958">
        <w:rPr>
          <w:b/>
          <w:bCs/>
          <w:sz w:val="28"/>
          <w:szCs w:val="28"/>
        </w:rPr>
        <w:t>li studi di settore rappresentano l'indicatore di una possibile anomalia del comportamento del contribuente e l'Amministrazione è tenuta ad attivare un contraddittorio con il contribuente, il quale è chiamato a fornire giustificazioni, se la sua redditività è gravemente incongruente rispetto alla normale redditività dello studio di settore applicato</w:t>
      </w:r>
      <w:r w:rsidRPr="00530958">
        <w:rPr>
          <w:b/>
          <w:bCs/>
          <w:sz w:val="28"/>
          <w:szCs w:val="28"/>
        </w:rPr>
        <w:t>.</w:t>
      </w:r>
    </w:p>
    <w:p w14:paraId="797F9901" w14:textId="63E6230B" w:rsidR="00BF7B70" w:rsidRPr="00BF7B70" w:rsidRDefault="0041250C" w:rsidP="00BF7B70">
      <w:pPr>
        <w:spacing w:after="0" w:line="360" w:lineRule="auto"/>
        <w:jc w:val="both"/>
        <w:rPr>
          <w:sz w:val="28"/>
          <w:szCs w:val="28"/>
        </w:rPr>
      </w:pPr>
      <w:r>
        <w:rPr>
          <w:sz w:val="28"/>
          <w:szCs w:val="28"/>
        </w:rPr>
        <w:t>I</w:t>
      </w:r>
      <w:r w:rsidR="00BF7B70" w:rsidRPr="00BF7B70">
        <w:rPr>
          <w:sz w:val="28"/>
          <w:szCs w:val="28"/>
        </w:rPr>
        <w:t>l contribuente ha, quindi, l'onere di provare, senza limitazione alcuna di mezzi e di contenuto, la sussistenza di condizioni che giustificano l'esclusione dell'impresa dall'area dei soggetti cui possono essere applicati gli standards</w:t>
      </w:r>
      <w:r w:rsidR="00BF7B70" w:rsidRPr="00BF7B70">
        <w:rPr>
          <w:i/>
          <w:iCs/>
          <w:sz w:val="28"/>
          <w:szCs w:val="28"/>
        </w:rPr>
        <w:t xml:space="preserve"> </w:t>
      </w:r>
      <w:r w:rsidR="00BF7B70" w:rsidRPr="00BF7B70">
        <w:rPr>
          <w:sz w:val="28"/>
          <w:szCs w:val="28"/>
        </w:rPr>
        <w:t>o la specifica realtà dell'attività economica nel periodo di tempo in esame (</w:t>
      </w:r>
      <w:r w:rsidR="0046403F">
        <w:rPr>
          <w:sz w:val="28"/>
          <w:szCs w:val="28"/>
        </w:rPr>
        <w:t>Corte di Cassazione</w:t>
      </w:r>
      <w:r w:rsidR="001E32AD">
        <w:rPr>
          <w:sz w:val="28"/>
          <w:szCs w:val="28"/>
        </w:rPr>
        <w:t>,</w:t>
      </w:r>
      <w:r w:rsidR="0046403F">
        <w:rPr>
          <w:sz w:val="28"/>
          <w:szCs w:val="28"/>
        </w:rPr>
        <w:t xml:space="preserve"> a </w:t>
      </w:r>
      <w:r w:rsidR="00BF7B70" w:rsidRPr="00BF7B70">
        <w:rPr>
          <w:sz w:val="28"/>
          <w:szCs w:val="28"/>
        </w:rPr>
        <w:t>S</w:t>
      </w:r>
      <w:r w:rsidR="00BA3E29">
        <w:rPr>
          <w:sz w:val="28"/>
          <w:szCs w:val="28"/>
        </w:rPr>
        <w:t xml:space="preserve">ezioni </w:t>
      </w:r>
      <w:r w:rsidR="00BF7B70" w:rsidRPr="00BF7B70">
        <w:rPr>
          <w:sz w:val="28"/>
          <w:szCs w:val="28"/>
        </w:rPr>
        <w:t>U</w:t>
      </w:r>
      <w:r w:rsidR="00BA3E29">
        <w:rPr>
          <w:sz w:val="28"/>
          <w:szCs w:val="28"/>
        </w:rPr>
        <w:t>nite</w:t>
      </w:r>
      <w:r w:rsidR="001E32AD">
        <w:rPr>
          <w:sz w:val="28"/>
          <w:szCs w:val="28"/>
        </w:rPr>
        <w:t>,</w:t>
      </w:r>
      <w:r w:rsidR="00BF7B70" w:rsidRPr="00BF7B70">
        <w:rPr>
          <w:sz w:val="28"/>
          <w:szCs w:val="28"/>
        </w:rPr>
        <w:t xml:space="preserve"> </w:t>
      </w:r>
      <w:proofErr w:type="spellStart"/>
      <w:r w:rsidR="00BF7B70" w:rsidRPr="00BF7B70">
        <w:rPr>
          <w:sz w:val="28"/>
          <w:szCs w:val="28"/>
        </w:rPr>
        <w:t>sent</w:t>
      </w:r>
      <w:proofErr w:type="spellEnd"/>
      <w:r w:rsidR="00BF7B70" w:rsidRPr="00BF7B70">
        <w:rPr>
          <w:sz w:val="28"/>
          <w:szCs w:val="28"/>
        </w:rPr>
        <w:t>. n. 26635/09)</w:t>
      </w:r>
      <w:r>
        <w:rPr>
          <w:sz w:val="28"/>
          <w:szCs w:val="28"/>
        </w:rPr>
        <w:t>.</w:t>
      </w:r>
    </w:p>
    <w:p w14:paraId="2F1DC289" w14:textId="4866B12B" w:rsidR="00BF7B70" w:rsidRPr="00BF7B70" w:rsidRDefault="0041250C" w:rsidP="00BF7B70">
      <w:pPr>
        <w:spacing w:after="0" w:line="360" w:lineRule="auto"/>
        <w:jc w:val="both"/>
        <w:rPr>
          <w:sz w:val="28"/>
          <w:szCs w:val="28"/>
        </w:rPr>
      </w:pPr>
      <w:r>
        <w:rPr>
          <w:sz w:val="28"/>
          <w:szCs w:val="28"/>
        </w:rPr>
        <w:t>A</w:t>
      </w:r>
      <w:r w:rsidR="00BF7B70" w:rsidRPr="00BF7B70">
        <w:rPr>
          <w:sz w:val="28"/>
          <w:szCs w:val="28"/>
        </w:rPr>
        <w:t xml:space="preserve"> tal riguardo, non assume rilievo decisivo la regolarità formale delle scritture contabili, che non costituisce un elemento idoneo ad inficiare le presunzioni di cui agli studi di settore, i quali possono essere utilizzati dall'ufficio anche in contrasto con le emergenze contabili (vedi </w:t>
      </w:r>
      <w:r w:rsidR="00B63218">
        <w:rPr>
          <w:sz w:val="28"/>
          <w:szCs w:val="28"/>
        </w:rPr>
        <w:t xml:space="preserve">Corte di Cassazione, </w:t>
      </w:r>
      <w:r w:rsidR="00BF7B70" w:rsidRPr="00BF7B70">
        <w:rPr>
          <w:sz w:val="28"/>
          <w:szCs w:val="28"/>
        </w:rPr>
        <w:t>Sez. 5, Ordinanza n. 9459 dei 12/04/2017)</w:t>
      </w:r>
      <w:r>
        <w:rPr>
          <w:sz w:val="28"/>
          <w:szCs w:val="28"/>
        </w:rPr>
        <w:t>.</w:t>
      </w:r>
    </w:p>
    <w:p w14:paraId="1D6A568E" w14:textId="77777777" w:rsidR="00BF7B70" w:rsidRPr="003C7123" w:rsidRDefault="0041250C" w:rsidP="00BF7B70">
      <w:pPr>
        <w:spacing w:after="0" w:line="360" w:lineRule="auto"/>
        <w:jc w:val="both"/>
        <w:rPr>
          <w:b/>
          <w:bCs/>
          <w:sz w:val="28"/>
          <w:szCs w:val="28"/>
        </w:rPr>
      </w:pPr>
      <w:r w:rsidRPr="003C7123">
        <w:rPr>
          <w:b/>
          <w:bCs/>
          <w:sz w:val="28"/>
          <w:szCs w:val="28"/>
        </w:rPr>
        <w:t>A</w:t>
      </w:r>
      <w:r w:rsidR="00BF7B70" w:rsidRPr="003C7123">
        <w:rPr>
          <w:b/>
          <w:bCs/>
          <w:sz w:val="28"/>
          <w:szCs w:val="28"/>
        </w:rPr>
        <w:t xml:space="preserve">i sensi dell'art.62 sexies </w:t>
      </w:r>
      <w:r w:rsidRPr="003C7123">
        <w:rPr>
          <w:b/>
          <w:bCs/>
          <w:sz w:val="28"/>
          <w:szCs w:val="28"/>
        </w:rPr>
        <w:t>D.L.</w:t>
      </w:r>
      <w:r w:rsidR="00BF7B70" w:rsidRPr="003C7123">
        <w:rPr>
          <w:b/>
          <w:bCs/>
          <w:sz w:val="28"/>
          <w:szCs w:val="28"/>
        </w:rPr>
        <w:t xml:space="preserve"> n.331/1993 "gli accertamenti ... possono essere fondati anche sull'esistenza di gravi incongruenze tra i ricavi, i compensi e i corrispettivi dichiarati e quelli fondatamente desumibili dagli studi di settore"</w:t>
      </w:r>
      <w:r w:rsidRPr="003C7123">
        <w:rPr>
          <w:b/>
          <w:bCs/>
          <w:sz w:val="28"/>
          <w:szCs w:val="28"/>
        </w:rPr>
        <w:t>.</w:t>
      </w:r>
    </w:p>
    <w:p w14:paraId="1387504B" w14:textId="0223B75C" w:rsidR="00BF7B70" w:rsidRPr="00BA3E29" w:rsidRDefault="0041250C" w:rsidP="00BF7B70">
      <w:pPr>
        <w:spacing w:after="0" w:line="360" w:lineRule="auto"/>
        <w:jc w:val="both"/>
        <w:rPr>
          <w:b/>
          <w:bCs/>
          <w:sz w:val="28"/>
          <w:szCs w:val="28"/>
        </w:rPr>
      </w:pPr>
      <w:r w:rsidRPr="00BA3E29">
        <w:rPr>
          <w:b/>
          <w:bCs/>
          <w:sz w:val="28"/>
          <w:szCs w:val="28"/>
        </w:rPr>
        <w:lastRenderedPageBreak/>
        <w:t>C</w:t>
      </w:r>
      <w:r w:rsidR="00BF7B70" w:rsidRPr="00BA3E29">
        <w:rPr>
          <w:b/>
          <w:bCs/>
          <w:sz w:val="28"/>
          <w:szCs w:val="28"/>
        </w:rPr>
        <w:t xml:space="preserve">ome chiarito dalla sentenza delle Sezioni Unite, "in tema di accertamento tributario, la necessità che lo scostamento del reddito dichiarato rispetto agli studi di settore testimoni una grave incongruenza, espressamente prevista dall'art. 62-sexies del </w:t>
      </w:r>
      <w:r w:rsidRPr="00BA3E29">
        <w:rPr>
          <w:b/>
          <w:bCs/>
          <w:sz w:val="28"/>
          <w:szCs w:val="28"/>
        </w:rPr>
        <w:t xml:space="preserve">D.L. </w:t>
      </w:r>
      <w:r w:rsidR="00BF7B70" w:rsidRPr="00BA3E29">
        <w:rPr>
          <w:b/>
          <w:bCs/>
          <w:sz w:val="28"/>
          <w:szCs w:val="28"/>
        </w:rPr>
        <w:t>30 agosto 1993, n. 331, aggiunto dalla legge di conversione 29 ottobre 1993, n. 427, ai fini dell'avvio della procedura finalizzata all'accertamento, deve ritenersi implicitamente confermata, nel quadro di una lettura costituzionalmente orientata al rispetto del principio della capacità contributiva, dall'art. 10, comma 1, della legge 8 maggio 1998, n. 146, il quale, pur richiamando direttamente l'art. 62-sexies cit., non contempla espressamente il requisito della gravità dello scostamento" (</w:t>
      </w:r>
      <w:r w:rsidR="00BA3E29" w:rsidRPr="00BA3E29">
        <w:rPr>
          <w:b/>
          <w:bCs/>
          <w:sz w:val="28"/>
          <w:szCs w:val="28"/>
        </w:rPr>
        <w:t xml:space="preserve">Corte di Cassazione a </w:t>
      </w:r>
      <w:r w:rsidR="00BF7B70" w:rsidRPr="00BA3E29">
        <w:rPr>
          <w:b/>
          <w:bCs/>
          <w:sz w:val="28"/>
          <w:szCs w:val="28"/>
        </w:rPr>
        <w:t>Sez</w:t>
      </w:r>
      <w:r w:rsidR="00BA3E29" w:rsidRPr="00BA3E29">
        <w:rPr>
          <w:b/>
          <w:bCs/>
          <w:sz w:val="28"/>
          <w:szCs w:val="28"/>
        </w:rPr>
        <w:t>ioni</w:t>
      </w:r>
      <w:r w:rsidR="00BF7B70" w:rsidRPr="00BA3E29">
        <w:rPr>
          <w:b/>
          <w:bCs/>
          <w:sz w:val="28"/>
          <w:szCs w:val="28"/>
        </w:rPr>
        <w:t xml:space="preserve"> U</w:t>
      </w:r>
      <w:r w:rsidR="00BA3E29" w:rsidRPr="00BA3E29">
        <w:rPr>
          <w:b/>
          <w:bCs/>
          <w:sz w:val="28"/>
          <w:szCs w:val="28"/>
        </w:rPr>
        <w:t>nite</w:t>
      </w:r>
      <w:r w:rsidR="00BF7B70" w:rsidRPr="00BA3E29">
        <w:rPr>
          <w:b/>
          <w:bCs/>
          <w:sz w:val="28"/>
          <w:szCs w:val="28"/>
        </w:rPr>
        <w:t>, Sentenza n. 26635 del 18/12/2009</w:t>
      </w:r>
      <w:r w:rsidR="00BA3E29" w:rsidRPr="00BA3E29">
        <w:rPr>
          <w:b/>
          <w:bCs/>
          <w:sz w:val="28"/>
          <w:szCs w:val="28"/>
        </w:rPr>
        <w:t>)</w:t>
      </w:r>
      <w:r w:rsidRPr="00BA3E29">
        <w:rPr>
          <w:b/>
          <w:bCs/>
          <w:sz w:val="28"/>
          <w:szCs w:val="28"/>
        </w:rPr>
        <w:t>.</w:t>
      </w:r>
    </w:p>
    <w:p w14:paraId="49200465" w14:textId="6097202F" w:rsidR="00BF7B70" w:rsidRPr="00BF7B70" w:rsidRDefault="0041250C" w:rsidP="00BF7B70">
      <w:pPr>
        <w:spacing w:after="0" w:line="360" w:lineRule="auto"/>
        <w:jc w:val="both"/>
        <w:rPr>
          <w:sz w:val="28"/>
          <w:szCs w:val="28"/>
        </w:rPr>
      </w:pPr>
      <w:proofErr w:type="gramStart"/>
      <w:r>
        <w:rPr>
          <w:sz w:val="28"/>
          <w:szCs w:val="28"/>
        </w:rPr>
        <w:t>E’</w:t>
      </w:r>
      <w:proofErr w:type="gramEnd"/>
      <w:r w:rsidR="00BF7B70" w:rsidRPr="00BF7B70">
        <w:rPr>
          <w:sz w:val="28"/>
          <w:szCs w:val="28"/>
        </w:rPr>
        <w:t xml:space="preserve"> pacifico, quindi, che a fondamento dell'accertamento basato sull'applicazione degli studi di settore occorre l'indicazione da parte dell'Ufficio di una "</w:t>
      </w:r>
      <w:r w:rsidR="00BF7B70" w:rsidRPr="00D34548">
        <w:rPr>
          <w:b/>
          <w:bCs/>
          <w:sz w:val="28"/>
          <w:szCs w:val="28"/>
        </w:rPr>
        <w:t>grave incongruenza</w:t>
      </w:r>
      <w:r w:rsidR="00BF7B70" w:rsidRPr="00BF7B70">
        <w:rPr>
          <w:sz w:val="28"/>
          <w:szCs w:val="28"/>
        </w:rPr>
        <w:t>", e non del semplice scostamento, tra il reddito dichiarato e quello risultante dall'applicazione dello studio di settore</w:t>
      </w:r>
      <w:r>
        <w:rPr>
          <w:sz w:val="28"/>
          <w:szCs w:val="28"/>
        </w:rPr>
        <w:t>.</w:t>
      </w:r>
    </w:p>
    <w:p w14:paraId="6C55648A" w14:textId="0B42C638" w:rsidR="00BF7B70" w:rsidRPr="00BF7B70" w:rsidRDefault="00A1334D" w:rsidP="00BF7B70">
      <w:pPr>
        <w:spacing w:after="0" w:line="360" w:lineRule="auto"/>
        <w:jc w:val="both"/>
        <w:rPr>
          <w:sz w:val="28"/>
          <w:szCs w:val="28"/>
        </w:rPr>
      </w:pPr>
      <w:r>
        <w:rPr>
          <w:sz w:val="28"/>
          <w:szCs w:val="28"/>
        </w:rPr>
        <w:t xml:space="preserve">Non è </w:t>
      </w:r>
      <w:r w:rsidR="00BF7B70" w:rsidRPr="00BF7B70">
        <w:rPr>
          <w:sz w:val="28"/>
          <w:szCs w:val="28"/>
        </w:rPr>
        <w:t>significativo lo scostamento</w:t>
      </w:r>
      <w:r>
        <w:rPr>
          <w:sz w:val="28"/>
          <w:szCs w:val="28"/>
        </w:rPr>
        <w:t>, per esempio,</w:t>
      </w:r>
      <w:r w:rsidR="00BF7B70" w:rsidRPr="00BF7B70">
        <w:rPr>
          <w:sz w:val="28"/>
          <w:szCs w:val="28"/>
        </w:rPr>
        <w:t xml:space="preserve"> di euro 100.</w:t>
      </w:r>
      <w:r>
        <w:rPr>
          <w:sz w:val="28"/>
          <w:szCs w:val="28"/>
        </w:rPr>
        <w:t>000</w:t>
      </w:r>
      <w:r w:rsidR="00BF7B70" w:rsidRPr="00BF7B70">
        <w:rPr>
          <w:sz w:val="28"/>
          <w:szCs w:val="28"/>
        </w:rPr>
        <w:t xml:space="preserve">,00, senza rapportarlo ai ricavi complessivi dichiarati, </w:t>
      </w:r>
      <w:r>
        <w:rPr>
          <w:sz w:val="28"/>
          <w:szCs w:val="28"/>
        </w:rPr>
        <w:t xml:space="preserve">che </w:t>
      </w:r>
      <w:r w:rsidR="00BF7B70" w:rsidRPr="00BF7B70">
        <w:rPr>
          <w:sz w:val="28"/>
          <w:szCs w:val="28"/>
        </w:rPr>
        <w:t xml:space="preserve">ammontano </w:t>
      </w:r>
      <w:r>
        <w:rPr>
          <w:sz w:val="28"/>
          <w:szCs w:val="28"/>
        </w:rPr>
        <w:t xml:space="preserve">per esempio </w:t>
      </w:r>
      <w:r w:rsidR="00BF7B70" w:rsidRPr="00BF7B70">
        <w:rPr>
          <w:sz w:val="28"/>
          <w:szCs w:val="28"/>
        </w:rPr>
        <w:t>ad euro 3.</w:t>
      </w:r>
      <w:r>
        <w:rPr>
          <w:sz w:val="28"/>
          <w:szCs w:val="28"/>
        </w:rPr>
        <w:t>000.000</w:t>
      </w:r>
      <w:r w:rsidR="00BF7B70" w:rsidRPr="00BF7B70">
        <w:rPr>
          <w:sz w:val="28"/>
          <w:szCs w:val="28"/>
        </w:rPr>
        <w:t>, con uno scostamento pari al 3% dei ricavi dichiarati</w:t>
      </w:r>
      <w:r>
        <w:rPr>
          <w:sz w:val="28"/>
          <w:szCs w:val="28"/>
        </w:rPr>
        <w:t xml:space="preserve"> (per un caso analogo, si rinvia all’ordinanza n. 20593 della Corte di Cassazione – Quinta Sezione Civile – depositata in cancelleria il 31 luglio 2019).</w:t>
      </w:r>
    </w:p>
    <w:p w14:paraId="22FEF7C6" w14:textId="2AC6380B" w:rsidR="00BF7B70" w:rsidRPr="00BF7B70" w:rsidRDefault="0041250C" w:rsidP="00BF7B70">
      <w:pPr>
        <w:spacing w:after="0" w:line="360" w:lineRule="auto"/>
        <w:jc w:val="both"/>
        <w:rPr>
          <w:sz w:val="28"/>
          <w:szCs w:val="28"/>
        </w:rPr>
      </w:pPr>
      <w:r>
        <w:rPr>
          <w:sz w:val="28"/>
          <w:szCs w:val="28"/>
        </w:rPr>
        <w:t>I</w:t>
      </w:r>
      <w:r w:rsidR="00BF7B70" w:rsidRPr="00BF7B70">
        <w:rPr>
          <w:sz w:val="28"/>
          <w:szCs w:val="28"/>
        </w:rPr>
        <w:t xml:space="preserve">l giudice </w:t>
      </w:r>
      <w:r w:rsidR="00661CE1">
        <w:rPr>
          <w:sz w:val="28"/>
          <w:szCs w:val="28"/>
        </w:rPr>
        <w:t>deve verificare</w:t>
      </w:r>
      <w:r w:rsidR="00BF7B70" w:rsidRPr="00BF7B70">
        <w:rPr>
          <w:sz w:val="28"/>
          <w:szCs w:val="28"/>
        </w:rPr>
        <w:t xml:space="preserve"> e </w:t>
      </w:r>
      <w:r w:rsidR="00661CE1">
        <w:rPr>
          <w:sz w:val="28"/>
          <w:szCs w:val="28"/>
        </w:rPr>
        <w:t>valutare sem</w:t>
      </w:r>
      <w:r w:rsidR="00847E42">
        <w:rPr>
          <w:sz w:val="28"/>
          <w:szCs w:val="28"/>
        </w:rPr>
        <w:t>p</w:t>
      </w:r>
      <w:r w:rsidR="00661CE1">
        <w:rPr>
          <w:sz w:val="28"/>
          <w:szCs w:val="28"/>
        </w:rPr>
        <w:t>re</w:t>
      </w:r>
      <w:r w:rsidR="00BF7B70" w:rsidRPr="00BF7B70">
        <w:rPr>
          <w:sz w:val="28"/>
          <w:szCs w:val="28"/>
        </w:rPr>
        <w:t xml:space="preserve"> la sussistenza dei presupposti per l'applicazione dell'art.62 bis e ss. </w:t>
      </w:r>
      <w:r>
        <w:rPr>
          <w:sz w:val="28"/>
          <w:szCs w:val="28"/>
        </w:rPr>
        <w:t>D.L.</w:t>
      </w:r>
      <w:r w:rsidR="00BF7B70" w:rsidRPr="00BF7B70">
        <w:rPr>
          <w:sz w:val="28"/>
          <w:szCs w:val="28"/>
        </w:rPr>
        <w:t xml:space="preserve"> n. 331/1993 sotto il profilo della sussistenza delle" </w:t>
      </w:r>
      <w:r w:rsidR="00BF7B70" w:rsidRPr="00661CE1">
        <w:rPr>
          <w:b/>
          <w:bCs/>
          <w:sz w:val="28"/>
          <w:szCs w:val="28"/>
        </w:rPr>
        <w:t>gravi incongruenze</w:t>
      </w:r>
      <w:r w:rsidR="00BF7B70" w:rsidRPr="00BF7B70">
        <w:rPr>
          <w:sz w:val="28"/>
          <w:szCs w:val="28"/>
        </w:rPr>
        <w:t xml:space="preserve">", </w:t>
      </w:r>
      <w:r w:rsidR="00661CE1">
        <w:rPr>
          <w:sz w:val="28"/>
          <w:szCs w:val="28"/>
        </w:rPr>
        <w:t xml:space="preserve">altrimenti incorre </w:t>
      </w:r>
      <w:r w:rsidR="00BF7B70" w:rsidRPr="00BF7B70">
        <w:rPr>
          <w:sz w:val="28"/>
          <w:szCs w:val="28"/>
        </w:rPr>
        <w:t xml:space="preserve">nella </w:t>
      </w:r>
      <w:r w:rsidR="005B036E">
        <w:rPr>
          <w:sz w:val="28"/>
          <w:szCs w:val="28"/>
        </w:rPr>
        <w:t>prevista</w:t>
      </w:r>
      <w:r w:rsidR="00BF7B70" w:rsidRPr="00BF7B70">
        <w:rPr>
          <w:sz w:val="28"/>
          <w:szCs w:val="28"/>
        </w:rPr>
        <w:t xml:space="preserve"> violazione di legge</w:t>
      </w:r>
      <w:r>
        <w:rPr>
          <w:sz w:val="28"/>
          <w:szCs w:val="28"/>
        </w:rPr>
        <w:t>.</w:t>
      </w:r>
    </w:p>
    <w:p w14:paraId="2A74214D" w14:textId="7E3B0228" w:rsidR="00BF7B70" w:rsidRDefault="0041250C" w:rsidP="00BF7B70">
      <w:pPr>
        <w:spacing w:after="0" w:line="360" w:lineRule="auto"/>
        <w:jc w:val="both"/>
        <w:rPr>
          <w:b/>
          <w:bCs/>
          <w:sz w:val="28"/>
          <w:szCs w:val="28"/>
        </w:rPr>
      </w:pPr>
      <w:proofErr w:type="gramStart"/>
      <w:r>
        <w:rPr>
          <w:b/>
          <w:bCs/>
          <w:sz w:val="28"/>
          <w:szCs w:val="28"/>
        </w:rPr>
        <w:t xml:space="preserve">Lecce,   </w:t>
      </w:r>
      <w:proofErr w:type="gramEnd"/>
      <w:r w:rsidR="00661CE1">
        <w:rPr>
          <w:b/>
          <w:bCs/>
          <w:sz w:val="28"/>
          <w:szCs w:val="28"/>
        </w:rPr>
        <w:t>14</w:t>
      </w:r>
      <w:r>
        <w:rPr>
          <w:b/>
          <w:bCs/>
          <w:sz w:val="28"/>
          <w:szCs w:val="28"/>
        </w:rPr>
        <w:t xml:space="preserve">   settembre 2019</w:t>
      </w:r>
    </w:p>
    <w:p w14:paraId="442E4D8E" w14:textId="77777777" w:rsidR="0041250C" w:rsidRDefault="0041250C" w:rsidP="00BF7B70">
      <w:pPr>
        <w:spacing w:after="0" w:line="360" w:lineRule="auto"/>
        <w:jc w:val="both"/>
        <w:rPr>
          <w:b/>
          <w:bCs/>
          <w:sz w:val="28"/>
          <w:szCs w:val="28"/>
        </w:rPr>
      </w:pPr>
    </w:p>
    <w:p w14:paraId="3237D249" w14:textId="77777777" w:rsidR="0041250C" w:rsidRPr="0041250C" w:rsidRDefault="0041250C" w:rsidP="0041250C">
      <w:pPr>
        <w:spacing w:after="0" w:line="240" w:lineRule="auto"/>
        <w:ind w:left="-1530"/>
        <w:jc w:val="center"/>
        <w:rPr>
          <w:rFonts w:ascii="Arial" w:eastAsia="Times New Roman" w:hAnsi="Arial" w:cs="Arial"/>
          <w:b/>
          <w:bCs/>
          <w:sz w:val="24"/>
          <w:szCs w:val="24"/>
          <w:lang w:eastAsia="it-IT"/>
        </w:rPr>
      </w:pPr>
      <w:r w:rsidRPr="0041250C">
        <w:rPr>
          <w:rFonts w:ascii="Arial" w:eastAsia="Times New Roman" w:hAnsi="Arial" w:cs="Arial"/>
          <w:b/>
          <w:bCs/>
          <w:sz w:val="24"/>
          <w:szCs w:val="24"/>
          <w:lang w:eastAsia="it-IT"/>
        </w:rPr>
        <w:t>AVV. MAURIZIO VILLANI</w:t>
      </w:r>
    </w:p>
    <w:p w14:paraId="228B1B8E" w14:textId="77777777" w:rsidR="0041250C" w:rsidRPr="0041250C" w:rsidRDefault="0041250C" w:rsidP="0041250C">
      <w:pPr>
        <w:keepNext/>
        <w:spacing w:after="0" w:line="240" w:lineRule="auto"/>
        <w:ind w:left="-1530"/>
        <w:jc w:val="center"/>
        <w:outlineLvl w:val="5"/>
        <w:rPr>
          <w:rFonts w:ascii="Arial" w:eastAsia="Times New Roman" w:hAnsi="Arial" w:cs="Arial"/>
          <w:b/>
          <w:bCs/>
          <w:sz w:val="24"/>
          <w:szCs w:val="24"/>
          <w:lang w:eastAsia="it-IT"/>
        </w:rPr>
      </w:pPr>
      <w:r w:rsidRPr="0041250C">
        <w:rPr>
          <w:rFonts w:ascii="Arial" w:eastAsia="Times New Roman" w:hAnsi="Arial" w:cs="Arial"/>
          <w:b/>
          <w:bCs/>
          <w:sz w:val="24"/>
          <w:szCs w:val="24"/>
          <w:lang w:eastAsia="it-IT"/>
        </w:rPr>
        <w:t>Avvocato Tributarista in Lecce</w:t>
      </w:r>
    </w:p>
    <w:p w14:paraId="4DACD2AE" w14:textId="77777777" w:rsidR="0041250C" w:rsidRPr="0041250C" w:rsidRDefault="0041250C" w:rsidP="0041250C">
      <w:pPr>
        <w:spacing w:after="0" w:line="240" w:lineRule="auto"/>
        <w:rPr>
          <w:rFonts w:ascii="Arial" w:eastAsia="Times New Roman" w:hAnsi="Arial" w:cs="Arial"/>
          <w:b/>
          <w:sz w:val="24"/>
          <w:szCs w:val="24"/>
          <w:lang w:eastAsia="it-IT"/>
        </w:rPr>
      </w:pPr>
      <w:r w:rsidRPr="0041250C">
        <w:rPr>
          <w:rFonts w:ascii="Arial" w:eastAsia="Times New Roman" w:hAnsi="Arial" w:cs="Arial"/>
          <w:b/>
          <w:sz w:val="24"/>
          <w:szCs w:val="24"/>
          <w:lang w:eastAsia="it-IT"/>
        </w:rPr>
        <w:t xml:space="preserve">                                     Patrocinante in Cassazione</w:t>
      </w:r>
    </w:p>
    <w:p w14:paraId="7A1B2A9C" w14:textId="77777777" w:rsidR="0041250C" w:rsidRPr="0041250C" w:rsidRDefault="00B378A9" w:rsidP="0041250C">
      <w:pPr>
        <w:spacing w:after="0" w:line="240" w:lineRule="auto"/>
        <w:ind w:left="-1530"/>
        <w:jc w:val="center"/>
        <w:rPr>
          <w:rFonts w:ascii="Arial" w:eastAsia="Times New Roman" w:hAnsi="Arial" w:cs="Arial"/>
          <w:b/>
          <w:bCs/>
          <w:sz w:val="24"/>
          <w:szCs w:val="24"/>
          <w:lang w:eastAsia="it-IT"/>
        </w:rPr>
      </w:pPr>
      <w:hyperlink r:id="rId6" w:history="1">
        <w:r w:rsidR="0041250C" w:rsidRPr="0041250C">
          <w:rPr>
            <w:rFonts w:ascii="Arial" w:eastAsia="Times New Roman" w:hAnsi="Arial" w:cs="Arial"/>
            <w:b/>
            <w:bCs/>
            <w:color w:val="0000FF"/>
            <w:sz w:val="24"/>
            <w:szCs w:val="24"/>
            <w:u w:val="single"/>
            <w:lang w:eastAsia="it-IT"/>
          </w:rPr>
          <w:t>www.studiotributariovillani.it</w:t>
        </w:r>
      </w:hyperlink>
      <w:r w:rsidR="0041250C" w:rsidRPr="0041250C">
        <w:rPr>
          <w:rFonts w:ascii="Arial" w:eastAsia="Times New Roman" w:hAnsi="Arial" w:cs="Arial"/>
          <w:b/>
          <w:bCs/>
          <w:sz w:val="24"/>
          <w:szCs w:val="24"/>
          <w:lang w:eastAsia="it-IT"/>
        </w:rPr>
        <w:t xml:space="preserve"> - e-mail </w:t>
      </w:r>
      <w:hyperlink r:id="rId7" w:history="1">
        <w:r w:rsidR="0041250C" w:rsidRPr="0041250C">
          <w:rPr>
            <w:rFonts w:ascii="Arial" w:eastAsia="Times New Roman" w:hAnsi="Arial" w:cs="Arial"/>
            <w:b/>
            <w:bCs/>
            <w:color w:val="0000FF"/>
            <w:sz w:val="24"/>
            <w:szCs w:val="24"/>
            <w:u w:val="single"/>
            <w:lang w:eastAsia="it-IT"/>
          </w:rPr>
          <w:t>avvocato@studiotributariovillani.it</w:t>
        </w:r>
      </w:hyperlink>
    </w:p>
    <w:sectPr w:rsidR="0041250C" w:rsidRPr="0041250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2BDD2" w14:textId="77777777" w:rsidR="00B378A9" w:rsidRDefault="00B378A9" w:rsidP="00BF7B70">
      <w:pPr>
        <w:spacing w:after="0" w:line="240" w:lineRule="auto"/>
      </w:pPr>
      <w:r>
        <w:separator/>
      </w:r>
    </w:p>
  </w:endnote>
  <w:endnote w:type="continuationSeparator" w:id="0">
    <w:p w14:paraId="1D4C4254" w14:textId="77777777" w:rsidR="00B378A9" w:rsidRDefault="00B378A9" w:rsidP="00BF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626152"/>
      <w:docPartObj>
        <w:docPartGallery w:val="Page Numbers (Bottom of Page)"/>
        <w:docPartUnique/>
      </w:docPartObj>
    </w:sdtPr>
    <w:sdtEndPr/>
    <w:sdtContent>
      <w:p w14:paraId="4CC99A5C" w14:textId="77777777" w:rsidR="00BF7B70" w:rsidRDefault="00BF7B70">
        <w:pPr>
          <w:pStyle w:val="Pidipagina"/>
          <w:jc w:val="right"/>
        </w:pPr>
        <w:r>
          <w:fldChar w:fldCharType="begin"/>
        </w:r>
        <w:r>
          <w:instrText>PAGE   \* MERGEFORMAT</w:instrText>
        </w:r>
        <w:r>
          <w:fldChar w:fldCharType="separate"/>
        </w:r>
        <w:r>
          <w:t>2</w:t>
        </w:r>
        <w:r>
          <w:fldChar w:fldCharType="end"/>
        </w:r>
      </w:p>
    </w:sdtContent>
  </w:sdt>
  <w:p w14:paraId="6D33A3DF" w14:textId="77777777" w:rsidR="00BF7B70" w:rsidRDefault="00BF7B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EC916" w14:textId="77777777" w:rsidR="00B378A9" w:rsidRDefault="00B378A9" w:rsidP="00BF7B70">
      <w:pPr>
        <w:spacing w:after="0" w:line="240" w:lineRule="auto"/>
      </w:pPr>
      <w:r>
        <w:separator/>
      </w:r>
    </w:p>
  </w:footnote>
  <w:footnote w:type="continuationSeparator" w:id="0">
    <w:p w14:paraId="04727C78" w14:textId="77777777" w:rsidR="00B378A9" w:rsidRDefault="00B378A9" w:rsidP="00BF7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70"/>
    <w:rsid w:val="001E32AD"/>
    <w:rsid w:val="00243687"/>
    <w:rsid w:val="00336493"/>
    <w:rsid w:val="003C7123"/>
    <w:rsid w:val="0041250C"/>
    <w:rsid w:val="0046403F"/>
    <w:rsid w:val="0052689E"/>
    <w:rsid w:val="00530958"/>
    <w:rsid w:val="005B036E"/>
    <w:rsid w:val="006232BD"/>
    <w:rsid w:val="00661CE1"/>
    <w:rsid w:val="00847E42"/>
    <w:rsid w:val="008E4587"/>
    <w:rsid w:val="009E7E63"/>
    <w:rsid w:val="00A1334D"/>
    <w:rsid w:val="00AB6C6E"/>
    <w:rsid w:val="00B378A9"/>
    <w:rsid w:val="00B63218"/>
    <w:rsid w:val="00BA3E29"/>
    <w:rsid w:val="00BF7B70"/>
    <w:rsid w:val="00D34548"/>
    <w:rsid w:val="00DE0686"/>
    <w:rsid w:val="00F03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761E"/>
  <w15:chartTrackingRefBased/>
  <w15:docId w15:val="{1B9CD7E3-DCE3-4340-9814-6FB2FBDD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7B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7B70"/>
  </w:style>
  <w:style w:type="paragraph" w:styleId="Pidipagina">
    <w:name w:val="footer"/>
    <w:basedOn w:val="Normale"/>
    <w:link w:val="PidipaginaCarattere"/>
    <w:uiPriority w:val="99"/>
    <w:unhideWhenUsed/>
    <w:rsid w:val="00BF7B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2019-09-14T07:16:00Z</cp:lastPrinted>
  <dcterms:created xsi:type="dcterms:W3CDTF">2019-09-19T15:47:00Z</dcterms:created>
  <dcterms:modified xsi:type="dcterms:W3CDTF">2019-09-19T15:47:00Z</dcterms:modified>
</cp:coreProperties>
</file>