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5852" w14:textId="55CFD374" w:rsidR="007961E1" w:rsidRPr="003E2C6B" w:rsidRDefault="00D511A3" w:rsidP="00C24D21">
      <w:pPr>
        <w:spacing w:after="0" w:line="360" w:lineRule="auto"/>
        <w:ind w:left="567" w:right="566"/>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w:t>
      </w:r>
      <w:r w:rsidR="007961E1" w:rsidRPr="003E2C6B">
        <w:rPr>
          <w:rFonts w:ascii="Times New Roman" w:hAnsi="Times New Roman" w:cs="Times New Roman"/>
          <w:b/>
          <w:i/>
          <w:sz w:val="28"/>
          <w:szCs w:val="28"/>
        </w:rPr>
        <w:t>ROTTAMAZIONE</w:t>
      </w:r>
      <w:r>
        <w:rPr>
          <w:rFonts w:ascii="Times New Roman" w:hAnsi="Times New Roman" w:cs="Times New Roman"/>
          <w:b/>
          <w:i/>
          <w:sz w:val="28"/>
          <w:szCs w:val="28"/>
        </w:rPr>
        <w:t>-</w:t>
      </w:r>
      <w:r w:rsidR="007961E1" w:rsidRPr="003E2C6B">
        <w:rPr>
          <w:rFonts w:ascii="Times New Roman" w:hAnsi="Times New Roman" w:cs="Times New Roman"/>
          <w:b/>
          <w:i/>
          <w:sz w:val="28"/>
          <w:szCs w:val="28"/>
        </w:rPr>
        <w:t>TER</w:t>
      </w:r>
      <w:r>
        <w:rPr>
          <w:rFonts w:ascii="Times New Roman" w:hAnsi="Times New Roman" w:cs="Times New Roman"/>
          <w:b/>
          <w:i/>
          <w:sz w:val="28"/>
          <w:szCs w:val="28"/>
        </w:rPr>
        <w:t>”</w:t>
      </w:r>
      <w:r w:rsidR="007961E1" w:rsidRPr="003E2C6B">
        <w:rPr>
          <w:rFonts w:ascii="Times New Roman" w:hAnsi="Times New Roman" w:cs="Times New Roman"/>
          <w:b/>
          <w:i/>
          <w:sz w:val="28"/>
          <w:szCs w:val="28"/>
        </w:rPr>
        <w:t>: RIAPE</w:t>
      </w:r>
      <w:r w:rsidR="00ED2FFD" w:rsidRPr="003E2C6B">
        <w:rPr>
          <w:rFonts w:ascii="Times New Roman" w:hAnsi="Times New Roman" w:cs="Times New Roman"/>
          <w:b/>
          <w:i/>
          <w:sz w:val="28"/>
          <w:szCs w:val="28"/>
        </w:rPr>
        <w:t>R</w:t>
      </w:r>
      <w:r w:rsidR="007961E1" w:rsidRPr="003E2C6B">
        <w:rPr>
          <w:rFonts w:ascii="Times New Roman" w:hAnsi="Times New Roman" w:cs="Times New Roman"/>
          <w:b/>
          <w:i/>
          <w:sz w:val="28"/>
          <w:szCs w:val="28"/>
        </w:rPr>
        <w:t xml:space="preserve">TURA DEI TERMINI PER CHI </w:t>
      </w:r>
      <w:r w:rsidR="00ED2FFD" w:rsidRPr="003E2C6B">
        <w:rPr>
          <w:rFonts w:ascii="Times New Roman" w:hAnsi="Times New Roman" w:cs="Times New Roman"/>
          <w:b/>
          <w:i/>
          <w:sz w:val="28"/>
          <w:szCs w:val="28"/>
        </w:rPr>
        <w:t>E’</w:t>
      </w:r>
      <w:r w:rsidR="007961E1" w:rsidRPr="003E2C6B">
        <w:rPr>
          <w:rFonts w:ascii="Times New Roman" w:hAnsi="Times New Roman" w:cs="Times New Roman"/>
          <w:b/>
          <w:i/>
          <w:sz w:val="28"/>
          <w:szCs w:val="28"/>
        </w:rPr>
        <w:t xml:space="preserve"> RIMASTO ESCLUSO</w:t>
      </w:r>
    </w:p>
    <w:p w14:paraId="564D3BD9" w14:textId="77777777" w:rsidR="00353B0E" w:rsidRDefault="00353B0E" w:rsidP="00263296">
      <w:pPr>
        <w:spacing w:after="0" w:line="360" w:lineRule="auto"/>
        <w:ind w:left="567" w:right="566"/>
        <w:jc w:val="center"/>
        <w:rPr>
          <w:rFonts w:ascii="Times New Roman" w:hAnsi="Times New Roman" w:cs="Times New Roman"/>
          <w:b/>
          <w:i/>
          <w:sz w:val="24"/>
          <w:szCs w:val="24"/>
        </w:rPr>
      </w:pPr>
    </w:p>
    <w:p w14:paraId="08A0CC64" w14:textId="18AC84FB" w:rsidR="00A241CF" w:rsidRDefault="00C24D21" w:rsidP="003F3DB8">
      <w:pPr>
        <w:spacing w:after="0" w:line="240" w:lineRule="auto"/>
        <w:ind w:left="567" w:right="566"/>
        <w:jc w:val="both"/>
        <w:rPr>
          <w:rFonts w:ascii="Times New Roman" w:hAnsi="Times New Roman" w:cs="Times New Roman"/>
          <w:b/>
          <w:bCs/>
          <w:i/>
          <w:sz w:val="24"/>
          <w:szCs w:val="24"/>
        </w:rPr>
      </w:pPr>
      <w:r w:rsidRPr="00C24D21">
        <w:rPr>
          <w:rFonts w:ascii="Times New Roman" w:hAnsi="Times New Roman" w:cs="Times New Roman"/>
          <w:b/>
          <w:bCs/>
          <w:i/>
          <w:sz w:val="24"/>
          <w:szCs w:val="24"/>
        </w:rPr>
        <w:t xml:space="preserve">La bozza di </w:t>
      </w:r>
      <w:r w:rsidR="00EE3F44">
        <w:rPr>
          <w:rFonts w:ascii="Times New Roman" w:hAnsi="Times New Roman" w:cs="Times New Roman"/>
          <w:b/>
          <w:bCs/>
          <w:i/>
          <w:sz w:val="24"/>
          <w:szCs w:val="24"/>
        </w:rPr>
        <w:t>d</w:t>
      </w:r>
      <w:r w:rsidRPr="00C24D21">
        <w:rPr>
          <w:rFonts w:ascii="Times New Roman" w:hAnsi="Times New Roman" w:cs="Times New Roman"/>
          <w:b/>
          <w:bCs/>
          <w:i/>
          <w:sz w:val="24"/>
          <w:szCs w:val="24"/>
        </w:rPr>
        <w:t>ecreto legge fiscale</w:t>
      </w:r>
      <w:r w:rsidR="008D6B66">
        <w:rPr>
          <w:rFonts w:ascii="Times New Roman" w:hAnsi="Times New Roman" w:cs="Times New Roman"/>
          <w:b/>
          <w:bCs/>
          <w:i/>
          <w:sz w:val="24"/>
          <w:szCs w:val="24"/>
        </w:rPr>
        <w:t xml:space="preserve"> (ancora in fase di definizione)</w:t>
      </w:r>
      <w:r w:rsidRPr="00C24D21">
        <w:rPr>
          <w:rFonts w:ascii="Times New Roman" w:hAnsi="Times New Roman" w:cs="Times New Roman"/>
          <w:b/>
          <w:bCs/>
          <w:i/>
          <w:sz w:val="24"/>
          <w:szCs w:val="24"/>
        </w:rPr>
        <w:t xml:space="preserve"> approvata dal Governo</w:t>
      </w:r>
      <w:r w:rsidR="00E9524B" w:rsidRPr="00C24D21">
        <w:rPr>
          <w:rFonts w:ascii="Times New Roman" w:hAnsi="Times New Roman" w:cs="Times New Roman"/>
          <w:b/>
          <w:bCs/>
          <w:i/>
          <w:sz w:val="24"/>
          <w:szCs w:val="24"/>
        </w:rPr>
        <w:t>, ha riaperto i termini per aderire alla “rottamazione-ter” delle cartelle</w:t>
      </w:r>
      <w:r w:rsidR="00A241CF">
        <w:rPr>
          <w:rFonts w:ascii="Times New Roman" w:hAnsi="Times New Roman" w:cs="Times New Roman"/>
          <w:b/>
          <w:bCs/>
          <w:i/>
          <w:sz w:val="24"/>
          <w:szCs w:val="24"/>
        </w:rPr>
        <w:t xml:space="preserve"> e per pagare la prima (o unica) rata già scaduta lo scorso luglio</w:t>
      </w:r>
      <w:r w:rsidR="00E9524B" w:rsidRPr="00C24D21">
        <w:rPr>
          <w:rFonts w:ascii="Times New Roman" w:hAnsi="Times New Roman" w:cs="Times New Roman"/>
          <w:b/>
          <w:bCs/>
          <w:i/>
          <w:sz w:val="24"/>
          <w:szCs w:val="24"/>
        </w:rPr>
        <w:t>.</w:t>
      </w:r>
    </w:p>
    <w:p w14:paraId="022CD825" w14:textId="4F6D5FBD" w:rsidR="007961E1" w:rsidRDefault="005A291C" w:rsidP="003F3DB8">
      <w:pPr>
        <w:spacing w:after="0" w:line="240" w:lineRule="auto"/>
        <w:ind w:left="567" w:right="566"/>
        <w:jc w:val="both"/>
        <w:rPr>
          <w:rFonts w:ascii="Times New Roman" w:hAnsi="Times New Roman" w:cs="Times New Roman"/>
          <w:b/>
          <w:bCs/>
          <w:i/>
          <w:sz w:val="24"/>
          <w:szCs w:val="24"/>
          <w:shd w:val="clear" w:color="auto" w:fill="FFFFFF"/>
        </w:rPr>
      </w:pPr>
      <w:r>
        <w:rPr>
          <w:rFonts w:ascii="Times New Roman" w:hAnsi="Times New Roman" w:cs="Times New Roman"/>
          <w:b/>
          <w:bCs/>
          <w:i/>
          <w:sz w:val="24"/>
          <w:szCs w:val="24"/>
          <w:shd w:val="clear" w:color="auto" w:fill="FFFFFF"/>
        </w:rPr>
        <w:t xml:space="preserve">Di fatto, </w:t>
      </w:r>
      <w:r>
        <w:rPr>
          <w:rFonts w:ascii="Times New Roman" w:hAnsi="Times New Roman" w:cs="Times New Roman"/>
          <w:b/>
          <w:i/>
          <w:sz w:val="24"/>
          <w:szCs w:val="24"/>
        </w:rPr>
        <w:t>l</w:t>
      </w:r>
      <w:r w:rsidR="003F3DB8" w:rsidRPr="003F3DB8">
        <w:rPr>
          <w:rFonts w:ascii="Times New Roman" w:hAnsi="Times New Roman" w:cs="Times New Roman"/>
          <w:b/>
          <w:i/>
          <w:sz w:val="24"/>
          <w:szCs w:val="24"/>
        </w:rPr>
        <w:t>a norma sposta</w:t>
      </w:r>
      <w:r w:rsidR="003F3DB8">
        <w:rPr>
          <w:rFonts w:ascii="Times New Roman" w:hAnsi="Times New Roman" w:cs="Times New Roman"/>
          <w:b/>
          <w:i/>
          <w:sz w:val="24"/>
          <w:szCs w:val="24"/>
        </w:rPr>
        <w:t xml:space="preserve"> dal 31 luglio</w:t>
      </w:r>
      <w:r w:rsidR="003F3DB8" w:rsidRPr="003F3DB8">
        <w:rPr>
          <w:rFonts w:ascii="Times New Roman" w:hAnsi="Times New Roman" w:cs="Times New Roman"/>
          <w:b/>
          <w:i/>
          <w:sz w:val="24"/>
          <w:szCs w:val="24"/>
        </w:rPr>
        <w:t xml:space="preserve"> al 30 novembre la data per il primo versamento (per chi ha scelto di pagare a rate) o per il saldo (per chi ha optato per il pagamento in un</w:t>
      </w:r>
      <w:r w:rsidR="00853B5A">
        <w:rPr>
          <w:rFonts w:ascii="Times New Roman" w:hAnsi="Times New Roman" w:cs="Times New Roman"/>
          <w:b/>
          <w:i/>
          <w:sz w:val="24"/>
          <w:szCs w:val="24"/>
        </w:rPr>
        <w:t>’</w:t>
      </w:r>
      <w:r w:rsidR="003F3DB8" w:rsidRPr="003F3DB8">
        <w:rPr>
          <w:rFonts w:ascii="Times New Roman" w:hAnsi="Times New Roman" w:cs="Times New Roman"/>
          <w:b/>
          <w:i/>
          <w:sz w:val="24"/>
          <w:szCs w:val="24"/>
        </w:rPr>
        <w:t xml:space="preserve">unica soluzione). </w:t>
      </w:r>
      <w:r w:rsidR="003F3DB8" w:rsidRPr="00C24D21">
        <w:rPr>
          <w:rFonts w:ascii="Times New Roman" w:hAnsi="Times New Roman" w:cs="Times New Roman"/>
          <w:b/>
          <w:bCs/>
          <w:i/>
          <w:sz w:val="24"/>
          <w:szCs w:val="24"/>
          <w:shd w:val="clear" w:color="auto" w:fill="FFFFFF"/>
        </w:rPr>
        <w:t>La rimessione in termini riguarda anche i soggetti che avevano presentato istanza di rottamazione-bis</w:t>
      </w:r>
      <w:r>
        <w:rPr>
          <w:rFonts w:ascii="Times New Roman" w:hAnsi="Times New Roman" w:cs="Times New Roman"/>
          <w:b/>
          <w:bCs/>
          <w:i/>
          <w:sz w:val="24"/>
          <w:szCs w:val="24"/>
          <w:shd w:val="clear" w:color="auto" w:fill="FFFFFF"/>
        </w:rPr>
        <w:t xml:space="preserve"> rimanendo poi inadempienti</w:t>
      </w:r>
      <w:r w:rsidR="003F3DB8" w:rsidRPr="00C24D21">
        <w:rPr>
          <w:rFonts w:ascii="Times New Roman" w:hAnsi="Times New Roman" w:cs="Times New Roman"/>
          <w:b/>
          <w:bCs/>
          <w:i/>
          <w:sz w:val="24"/>
          <w:szCs w:val="24"/>
          <w:shd w:val="clear" w:color="auto" w:fill="FFFFFF"/>
        </w:rPr>
        <w:t>.</w:t>
      </w:r>
    </w:p>
    <w:p w14:paraId="1A34D5AE" w14:textId="77777777" w:rsidR="003F3DB8" w:rsidRPr="003F3DB8" w:rsidRDefault="003F3DB8" w:rsidP="003F3DB8">
      <w:pPr>
        <w:spacing w:after="0" w:line="240" w:lineRule="auto"/>
        <w:ind w:left="567" w:right="566"/>
        <w:jc w:val="both"/>
        <w:rPr>
          <w:rFonts w:ascii="Times New Roman" w:hAnsi="Times New Roman" w:cs="Times New Roman"/>
          <w:b/>
          <w:bCs/>
          <w:i/>
          <w:sz w:val="24"/>
          <w:szCs w:val="24"/>
          <w:shd w:val="clear" w:color="auto" w:fill="FFFFFF"/>
        </w:rPr>
      </w:pPr>
    </w:p>
    <w:p w14:paraId="0D6CAED4" w14:textId="77777777" w:rsidR="00DB0505" w:rsidRPr="00DB0505" w:rsidRDefault="00DB0505" w:rsidP="00DB0505">
      <w:pPr>
        <w:pStyle w:val="Paragrafoelenco"/>
        <w:numPr>
          <w:ilvl w:val="0"/>
          <w:numId w:val="15"/>
        </w:numPr>
        <w:spacing w:after="0" w:line="360" w:lineRule="auto"/>
        <w:ind w:right="566"/>
        <w:jc w:val="both"/>
        <w:rPr>
          <w:rFonts w:ascii="Times New Roman" w:hAnsi="Times New Roman" w:cs="Times New Roman"/>
          <w:b/>
          <w:bCs/>
          <w:i/>
          <w:sz w:val="24"/>
          <w:szCs w:val="24"/>
        </w:rPr>
      </w:pPr>
      <w:r w:rsidRPr="00DB0505">
        <w:rPr>
          <w:rFonts w:ascii="Times New Roman" w:hAnsi="Times New Roman" w:cs="Times New Roman"/>
          <w:b/>
          <w:bCs/>
          <w:i/>
          <w:sz w:val="24"/>
          <w:szCs w:val="24"/>
        </w:rPr>
        <w:t>Premessa</w:t>
      </w:r>
    </w:p>
    <w:p w14:paraId="2F935DC8" w14:textId="5CD00BA5" w:rsidR="00A241CF" w:rsidRDefault="00853B5A" w:rsidP="008D6B66">
      <w:pPr>
        <w:spacing w:after="0" w:line="360" w:lineRule="auto"/>
        <w:ind w:left="567" w:right="566"/>
        <w:jc w:val="both"/>
        <w:rPr>
          <w:rFonts w:ascii="Times New Roman" w:hAnsi="Times New Roman" w:cs="Times New Roman"/>
          <w:sz w:val="24"/>
          <w:szCs w:val="24"/>
        </w:rPr>
      </w:pPr>
      <w:r w:rsidRPr="00853B5A">
        <w:rPr>
          <w:rFonts w:ascii="Times New Roman" w:hAnsi="Times New Roman" w:cs="Times New Roman"/>
          <w:b/>
          <w:iCs/>
          <w:sz w:val="24"/>
          <w:szCs w:val="24"/>
        </w:rPr>
        <w:t>L’art. 36 della</w:t>
      </w:r>
      <w:r w:rsidR="00C24D21" w:rsidRPr="00853B5A">
        <w:rPr>
          <w:rFonts w:ascii="Times New Roman" w:hAnsi="Times New Roman" w:cs="Times New Roman"/>
          <w:b/>
          <w:sz w:val="24"/>
          <w:szCs w:val="24"/>
        </w:rPr>
        <w:t xml:space="preserve"> bozza di </w:t>
      </w:r>
      <w:r w:rsidR="008D6B66" w:rsidRPr="00853B5A">
        <w:rPr>
          <w:rFonts w:ascii="Times New Roman" w:hAnsi="Times New Roman" w:cs="Times New Roman"/>
          <w:b/>
          <w:sz w:val="24"/>
          <w:szCs w:val="24"/>
        </w:rPr>
        <w:t>d</w:t>
      </w:r>
      <w:r w:rsidR="00C24D21" w:rsidRPr="00853B5A">
        <w:rPr>
          <w:rFonts w:ascii="Times New Roman" w:hAnsi="Times New Roman" w:cs="Times New Roman"/>
          <w:b/>
          <w:sz w:val="24"/>
          <w:szCs w:val="24"/>
        </w:rPr>
        <w:t>ecreto legge fiscale</w:t>
      </w:r>
      <w:r w:rsidR="00E9524B" w:rsidRPr="00853B5A">
        <w:rPr>
          <w:rFonts w:ascii="Times New Roman" w:hAnsi="Times New Roman" w:cs="Times New Roman"/>
          <w:b/>
          <w:sz w:val="24"/>
          <w:szCs w:val="24"/>
        </w:rPr>
        <w:t>,</w:t>
      </w:r>
      <w:r w:rsidR="00A413D0" w:rsidRPr="00853B5A">
        <w:rPr>
          <w:rFonts w:ascii="Times New Roman" w:hAnsi="Times New Roman" w:cs="Times New Roman"/>
          <w:b/>
          <w:sz w:val="24"/>
          <w:szCs w:val="24"/>
        </w:rPr>
        <w:t xml:space="preserve"> ha riaperto i termini della</w:t>
      </w:r>
      <w:r w:rsidR="00E9524B" w:rsidRPr="00853B5A">
        <w:rPr>
          <w:rFonts w:ascii="Times New Roman" w:hAnsi="Times New Roman" w:cs="Times New Roman"/>
          <w:b/>
          <w:sz w:val="24"/>
          <w:szCs w:val="24"/>
        </w:rPr>
        <w:t xml:space="preserve"> </w:t>
      </w:r>
      <w:r w:rsidR="00C24D21" w:rsidRPr="00853B5A">
        <w:rPr>
          <w:rFonts w:ascii="Times New Roman" w:hAnsi="Times New Roman" w:cs="Times New Roman"/>
          <w:b/>
          <w:sz w:val="24"/>
          <w:szCs w:val="24"/>
        </w:rPr>
        <w:t>rottamazione 3.0</w:t>
      </w:r>
      <w:r w:rsidR="00E9524B" w:rsidRPr="00853B5A">
        <w:rPr>
          <w:rFonts w:ascii="Times New Roman" w:hAnsi="Times New Roman" w:cs="Times New Roman"/>
          <w:b/>
          <w:sz w:val="24"/>
          <w:szCs w:val="24"/>
        </w:rPr>
        <w:t>.</w:t>
      </w:r>
      <w:r w:rsidR="003F3DB8">
        <w:rPr>
          <w:rFonts w:ascii="Times New Roman" w:hAnsi="Times New Roman" w:cs="Times New Roman"/>
          <w:sz w:val="24"/>
          <w:szCs w:val="24"/>
        </w:rPr>
        <w:t xml:space="preserve"> </w:t>
      </w:r>
      <w:r w:rsidR="00E9524B" w:rsidRPr="00E9524B">
        <w:rPr>
          <w:rFonts w:ascii="Times New Roman" w:hAnsi="Times New Roman" w:cs="Times New Roman"/>
          <w:iCs/>
          <w:sz w:val="24"/>
          <w:szCs w:val="24"/>
        </w:rPr>
        <w:t xml:space="preserve">Il testo </w:t>
      </w:r>
      <w:r w:rsidR="000509A2">
        <w:rPr>
          <w:rFonts w:ascii="Times New Roman" w:hAnsi="Times New Roman" w:cs="Times New Roman"/>
          <w:iCs/>
          <w:sz w:val="24"/>
          <w:szCs w:val="24"/>
        </w:rPr>
        <w:t xml:space="preserve">della norma in esame </w:t>
      </w:r>
      <w:r w:rsidR="00E9524B" w:rsidRPr="00E9524B">
        <w:rPr>
          <w:rFonts w:ascii="Times New Roman" w:hAnsi="Times New Roman" w:cs="Times New Roman"/>
          <w:iCs/>
          <w:sz w:val="24"/>
          <w:szCs w:val="24"/>
        </w:rPr>
        <w:t>prevede</w:t>
      </w:r>
      <w:r w:rsidR="008D6B66">
        <w:rPr>
          <w:rFonts w:ascii="Times New Roman" w:hAnsi="Times New Roman" w:cs="Times New Roman"/>
          <w:iCs/>
          <w:sz w:val="24"/>
          <w:szCs w:val="24"/>
        </w:rPr>
        <w:t xml:space="preserve">, infatti, </w:t>
      </w:r>
      <w:r w:rsidR="00E9524B" w:rsidRPr="00E9524B">
        <w:rPr>
          <w:rFonts w:ascii="Times New Roman" w:hAnsi="Times New Roman" w:cs="Times New Roman"/>
          <w:iCs/>
          <w:sz w:val="24"/>
          <w:szCs w:val="24"/>
        </w:rPr>
        <w:t>che il debitore rimasto escluso</w:t>
      </w:r>
      <w:r w:rsidR="00C24D21">
        <w:rPr>
          <w:rFonts w:ascii="Times New Roman" w:hAnsi="Times New Roman" w:cs="Times New Roman"/>
          <w:iCs/>
          <w:sz w:val="24"/>
          <w:szCs w:val="24"/>
        </w:rPr>
        <w:t xml:space="preserve"> per non aver assolto al pagamento della prima rata prevista per lo scorso 31 luglio</w:t>
      </w:r>
      <w:r w:rsidR="00E9524B">
        <w:rPr>
          <w:rFonts w:ascii="Times New Roman" w:hAnsi="Times New Roman" w:cs="Times New Roman"/>
          <w:iCs/>
          <w:sz w:val="24"/>
          <w:szCs w:val="24"/>
        </w:rPr>
        <w:t xml:space="preserve">, </w:t>
      </w:r>
      <w:r w:rsidR="00E9524B" w:rsidRPr="00E9524B">
        <w:rPr>
          <w:rFonts w:ascii="Times New Roman" w:hAnsi="Times New Roman" w:cs="Times New Roman"/>
          <w:iCs/>
          <w:sz w:val="24"/>
          <w:szCs w:val="24"/>
        </w:rPr>
        <w:t xml:space="preserve">possa ancora aderire alla terza edizione </w:t>
      </w:r>
      <w:r w:rsidR="00CD242A">
        <w:rPr>
          <w:rFonts w:ascii="Times New Roman" w:hAnsi="Times New Roman" w:cs="Times New Roman"/>
          <w:iCs/>
          <w:sz w:val="24"/>
          <w:szCs w:val="24"/>
        </w:rPr>
        <w:t>della rottamazione</w:t>
      </w:r>
      <w:r w:rsidR="003F3DB8">
        <w:rPr>
          <w:rFonts w:ascii="Times New Roman" w:hAnsi="Times New Roman" w:cs="Times New Roman"/>
          <w:iCs/>
          <w:sz w:val="24"/>
          <w:szCs w:val="24"/>
        </w:rPr>
        <w:t xml:space="preserve"> </w:t>
      </w:r>
      <w:r w:rsidR="003F3DB8" w:rsidRPr="008D6B66">
        <w:rPr>
          <w:rFonts w:ascii="Times New Roman" w:hAnsi="Times New Roman" w:cs="Times New Roman"/>
          <w:b/>
          <w:bCs/>
          <w:iCs/>
          <w:sz w:val="24"/>
          <w:szCs w:val="24"/>
        </w:rPr>
        <w:t>ottemperando al pagamento entro il prossimo 30 novembre</w:t>
      </w:r>
      <w:r w:rsidR="00E9524B" w:rsidRPr="00E9524B">
        <w:rPr>
          <w:rFonts w:ascii="Times New Roman" w:hAnsi="Times New Roman" w:cs="Times New Roman"/>
          <w:iCs/>
          <w:sz w:val="24"/>
          <w:szCs w:val="24"/>
        </w:rPr>
        <w:t xml:space="preserve">. </w:t>
      </w:r>
      <w:r w:rsidR="00CD242A" w:rsidRPr="00CD242A">
        <w:rPr>
          <w:rFonts w:ascii="Times New Roman" w:hAnsi="Times New Roman" w:cs="Times New Roman"/>
          <w:sz w:val="24"/>
          <w:szCs w:val="24"/>
        </w:rPr>
        <w:t>Sono ammessi anche tutti coloro i quali abbiano presentato</w:t>
      </w:r>
      <w:r w:rsidR="00C24D21">
        <w:rPr>
          <w:rFonts w:ascii="Times New Roman" w:hAnsi="Times New Roman" w:cs="Times New Roman"/>
          <w:sz w:val="24"/>
          <w:szCs w:val="24"/>
        </w:rPr>
        <w:t xml:space="preserve"> istanza di rottamazione-bis</w:t>
      </w:r>
      <w:r w:rsidR="008D6B66">
        <w:rPr>
          <w:rFonts w:ascii="Times New Roman" w:hAnsi="Times New Roman" w:cs="Times New Roman"/>
          <w:sz w:val="24"/>
          <w:szCs w:val="24"/>
        </w:rPr>
        <w:t>, senza poi provvedere al pagamento nei termini</w:t>
      </w:r>
      <w:r w:rsidR="00CD242A" w:rsidRPr="00CD242A">
        <w:rPr>
          <w:rFonts w:ascii="Times New Roman" w:hAnsi="Times New Roman" w:cs="Times New Roman"/>
          <w:sz w:val="24"/>
          <w:szCs w:val="24"/>
        </w:rPr>
        <w:t>.</w:t>
      </w:r>
      <w:r w:rsidR="003F3DB8">
        <w:rPr>
          <w:rFonts w:ascii="Times New Roman" w:hAnsi="Times New Roman" w:cs="Times New Roman"/>
          <w:sz w:val="24"/>
          <w:szCs w:val="24"/>
        </w:rPr>
        <w:t xml:space="preserve"> </w:t>
      </w:r>
    </w:p>
    <w:p w14:paraId="3A03069E" w14:textId="7F6DE085" w:rsidR="008D6B66" w:rsidRDefault="00A241CF" w:rsidP="008D6B66">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I</w:t>
      </w:r>
      <w:r w:rsidRPr="001B1E99">
        <w:rPr>
          <w:rFonts w:ascii="Times New Roman" w:hAnsi="Times New Roman" w:cs="Times New Roman"/>
          <w:sz w:val="24"/>
          <w:szCs w:val="24"/>
        </w:rPr>
        <w:t xml:space="preserve">n buona sostanza, </w:t>
      </w:r>
      <w:r>
        <w:rPr>
          <w:rFonts w:ascii="Times New Roman" w:hAnsi="Times New Roman" w:cs="Times New Roman"/>
          <w:sz w:val="24"/>
          <w:szCs w:val="24"/>
        </w:rPr>
        <w:t>l</w:t>
      </w:r>
      <w:r w:rsidR="008D6B66" w:rsidRPr="001B1E99">
        <w:rPr>
          <w:rFonts w:ascii="Times New Roman" w:hAnsi="Times New Roman" w:cs="Times New Roman"/>
          <w:sz w:val="24"/>
          <w:szCs w:val="24"/>
        </w:rPr>
        <w:t>a disposizione in commento parifica</w:t>
      </w:r>
      <w:r>
        <w:rPr>
          <w:rFonts w:ascii="Times New Roman" w:hAnsi="Times New Roman" w:cs="Times New Roman"/>
          <w:sz w:val="24"/>
          <w:szCs w:val="24"/>
        </w:rPr>
        <w:t xml:space="preserve"> la totalità de</w:t>
      </w:r>
      <w:r w:rsidR="008D6B66" w:rsidRPr="001B1E99">
        <w:rPr>
          <w:rFonts w:ascii="Times New Roman" w:hAnsi="Times New Roman" w:cs="Times New Roman"/>
          <w:sz w:val="24"/>
          <w:szCs w:val="24"/>
        </w:rPr>
        <w:t>i debitori che versano nelle situazion</w:t>
      </w:r>
      <w:r w:rsidR="008D6B66" w:rsidRPr="008D6B66">
        <w:rPr>
          <w:rFonts w:ascii="Times New Roman" w:hAnsi="Times New Roman" w:cs="Times New Roman"/>
          <w:sz w:val="24"/>
          <w:szCs w:val="24"/>
        </w:rPr>
        <w:t>i</w:t>
      </w:r>
      <w:r w:rsidR="008D6B66" w:rsidRPr="001B1E99">
        <w:rPr>
          <w:rFonts w:ascii="Times New Roman" w:hAnsi="Times New Roman" w:cs="Times New Roman"/>
          <w:sz w:val="24"/>
          <w:szCs w:val="24"/>
        </w:rPr>
        <w:t xml:space="preserve"> anzidette, </w:t>
      </w:r>
      <w:r w:rsidR="008D6B66" w:rsidRPr="00853B5A">
        <w:rPr>
          <w:rFonts w:ascii="Times New Roman" w:hAnsi="Times New Roman" w:cs="Times New Roman"/>
          <w:b/>
          <w:bCs/>
          <w:sz w:val="24"/>
          <w:szCs w:val="24"/>
        </w:rPr>
        <w:t>fissando per tutti il termine di pagamento della prima o unica rata al 30 novembre 2019.</w:t>
      </w:r>
    </w:p>
    <w:p w14:paraId="6F260896" w14:textId="3212B3DD" w:rsidR="00E9524B" w:rsidRPr="008D6B66" w:rsidRDefault="00E9524B" w:rsidP="008D6B66">
      <w:pPr>
        <w:spacing w:after="0" w:line="360" w:lineRule="auto"/>
        <w:ind w:left="567" w:right="566"/>
        <w:jc w:val="both"/>
        <w:rPr>
          <w:rFonts w:ascii="Times New Roman" w:hAnsi="Times New Roman" w:cs="Times New Roman"/>
          <w:sz w:val="24"/>
          <w:szCs w:val="24"/>
        </w:rPr>
      </w:pPr>
      <w:r w:rsidRPr="00E9524B">
        <w:rPr>
          <w:rFonts w:ascii="Times New Roman" w:hAnsi="Times New Roman" w:cs="Times New Roman"/>
          <w:iCs/>
          <w:sz w:val="24"/>
          <w:szCs w:val="24"/>
        </w:rPr>
        <w:t xml:space="preserve">Tuttavia, </w:t>
      </w:r>
      <w:r w:rsidR="00A241CF">
        <w:rPr>
          <w:rFonts w:ascii="Times New Roman" w:hAnsi="Times New Roman" w:cs="Times New Roman"/>
          <w:sz w:val="24"/>
          <w:szCs w:val="24"/>
        </w:rPr>
        <w:t>l</w:t>
      </w:r>
      <w:r w:rsidR="008D6B66">
        <w:rPr>
          <w:rFonts w:ascii="Times New Roman" w:hAnsi="Times New Roman" w:cs="Times New Roman"/>
          <w:sz w:val="24"/>
          <w:szCs w:val="24"/>
        </w:rPr>
        <w:t xml:space="preserve">a disciplina di fondo resta quella originaria, pertanto </w:t>
      </w:r>
      <w:r w:rsidRPr="00E9524B">
        <w:rPr>
          <w:rFonts w:ascii="Times New Roman" w:hAnsi="Times New Roman" w:cs="Times New Roman"/>
          <w:b/>
          <w:bCs/>
          <w:iCs/>
          <w:sz w:val="24"/>
          <w:szCs w:val="24"/>
        </w:rPr>
        <w:t xml:space="preserve">dalla riapertura dei termini </w:t>
      </w:r>
      <w:r w:rsidR="008D6B66">
        <w:rPr>
          <w:rFonts w:ascii="Times New Roman" w:hAnsi="Times New Roman" w:cs="Times New Roman"/>
          <w:b/>
          <w:bCs/>
          <w:iCs/>
          <w:sz w:val="24"/>
          <w:szCs w:val="24"/>
        </w:rPr>
        <w:t xml:space="preserve">continuano a risultare </w:t>
      </w:r>
      <w:r w:rsidRPr="00E9524B">
        <w:rPr>
          <w:rFonts w:ascii="Times New Roman" w:hAnsi="Times New Roman" w:cs="Times New Roman"/>
          <w:b/>
          <w:bCs/>
          <w:iCs/>
          <w:sz w:val="24"/>
          <w:szCs w:val="24"/>
        </w:rPr>
        <w:t>esclusi i ruoli affidati all’agente della riscossione successivamente al 31 dicembre 2017.</w:t>
      </w:r>
    </w:p>
    <w:p w14:paraId="21245223" w14:textId="77777777" w:rsidR="00E9524B" w:rsidRDefault="00E9524B" w:rsidP="00E9524B">
      <w:pPr>
        <w:pStyle w:val="Paragrafoelenco"/>
        <w:spacing w:after="0" w:line="360" w:lineRule="auto"/>
        <w:ind w:left="927" w:right="566"/>
        <w:jc w:val="both"/>
        <w:rPr>
          <w:rFonts w:ascii="Times New Roman" w:hAnsi="Times New Roman" w:cs="Times New Roman"/>
          <w:b/>
          <w:i/>
          <w:iCs/>
          <w:sz w:val="24"/>
          <w:szCs w:val="24"/>
        </w:rPr>
      </w:pPr>
    </w:p>
    <w:p w14:paraId="096FD512" w14:textId="1726E3A9" w:rsidR="002976EA" w:rsidRPr="00DB0505" w:rsidRDefault="002976EA" w:rsidP="00DB0505">
      <w:pPr>
        <w:pStyle w:val="Paragrafoelenco"/>
        <w:numPr>
          <w:ilvl w:val="0"/>
          <w:numId w:val="15"/>
        </w:numPr>
        <w:spacing w:after="0" w:line="360" w:lineRule="auto"/>
        <w:ind w:right="566"/>
        <w:jc w:val="both"/>
        <w:rPr>
          <w:rFonts w:ascii="Times New Roman" w:hAnsi="Times New Roman" w:cs="Times New Roman"/>
          <w:b/>
          <w:i/>
          <w:iCs/>
          <w:sz w:val="24"/>
          <w:szCs w:val="24"/>
        </w:rPr>
      </w:pPr>
      <w:r w:rsidRPr="00DB0505">
        <w:rPr>
          <w:rFonts w:ascii="Times New Roman" w:hAnsi="Times New Roman" w:cs="Times New Roman"/>
          <w:b/>
          <w:i/>
          <w:iCs/>
          <w:sz w:val="24"/>
          <w:szCs w:val="24"/>
        </w:rPr>
        <w:t>“Rottamazione-ter”</w:t>
      </w:r>
      <w:r w:rsidR="000509A2" w:rsidRPr="00DB0505">
        <w:rPr>
          <w:rFonts w:ascii="Times New Roman" w:hAnsi="Times New Roman" w:cs="Times New Roman"/>
          <w:b/>
          <w:i/>
          <w:iCs/>
          <w:sz w:val="24"/>
          <w:szCs w:val="24"/>
        </w:rPr>
        <w:t>: disciplina generale.</w:t>
      </w:r>
    </w:p>
    <w:p w14:paraId="224DCA8A" w14:textId="0AA87917" w:rsidR="00ED2FFD" w:rsidRPr="00263296" w:rsidRDefault="00CD242A" w:rsidP="00263296">
      <w:pPr>
        <w:spacing w:after="0" w:line="360" w:lineRule="auto"/>
        <w:ind w:left="567" w:right="566"/>
        <w:jc w:val="both"/>
        <w:rPr>
          <w:rFonts w:ascii="Times New Roman" w:hAnsi="Times New Roman" w:cs="Times New Roman"/>
          <w:sz w:val="24"/>
          <w:szCs w:val="24"/>
        </w:rPr>
      </w:pPr>
      <w:r w:rsidRPr="000509A2">
        <w:rPr>
          <w:rFonts w:ascii="Times New Roman" w:hAnsi="Times New Roman" w:cs="Times New Roman"/>
          <w:bCs/>
          <w:sz w:val="24"/>
          <w:szCs w:val="24"/>
        </w:rPr>
        <w:t xml:space="preserve">Al fine di operare un’accurata analisi dell’argomento in esame, occorre </w:t>
      </w:r>
      <w:r w:rsidR="000509A2">
        <w:rPr>
          <w:rFonts w:ascii="Times New Roman" w:hAnsi="Times New Roman" w:cs="Times New Roman"/>
          <w:bCs/>
          <w:sz w:val="24"/>
          <w:szCs w:val="24"/>
        </w:rPr>
        <w:t>inquadrare la disciplina di fondo dell</w:t>
      </w:r>
      <w:r w:rsidR="00C24D21">
        <w:rPr>
          <w:rFonts w:ascii="Times New Roman" w:hAnsi="Times New Roman" w:cs="Times New Roman"/>
          <w:bCs/>
          <w:sz w:val="24"/>
          <w:szCs w:val="24"/>
        </w:rPr>
        <w:t>a</w:t>
      </w:r>
      <w:r w:rsidR="000509A2">
        <w:rPr>
          <w:rFonts w:ascii="Times New Roman" w:hAnsi="Times New Roman" w:cs="Times New Roman"/>
          <w:bCs/>
          <w:sz w:val="24"/>
          <w:szCs w:val="24"/>
        </w:rPr>
        <w:t xml:space="preserve"> sanatori</w:t>
      </w:r>
      <w:r w:rsidR="00C24D21">
        <w:rPr>
          <w:rFonts w:ascii="Times New Roman" w:hAnsi="Times New Roman" w:cs="Times New Roman"/>
          <w:bCs/>
          <w:sz w:val="24"/>
          <w:szCs w:val="24"/>
        </w:rPr>
        <w:t>a</w:t>
      </w:r>
      <w:r w:rsidR="000509A2">
        <w:rPr>
          <w:rFonts w:ascii="Times New Roman" w:hAnsi="Times New Roman" w:cs="Times New Roman"/>
          <w:bCs/>
          <w:sz w:val="24"/>
          <w:szCs w:val="24"/>
        </w:rPr>
        <w:t xml:space="preserve"> e </w:t>
      </w:r>
      <w:r w:rsidRPr="000509A2">
        <w:rPr>
          <w:rFonts w:ascii="Times New Roman" w:hAnsi="Times New Roman" w:cs="Times New Roman"/>
          <w:bCs/>
          <w:sz w:val="24"/>
          <w:szCs w:val="24"/>
        </w:rPr>
        <w:t>chiarire</w:t>
      </w:r>
      <w:r w:rsidR="000509A2">
        <w:rPr>
          <w:rFonts w:ascii="Times New Roman" w:hAnsi="Times New Roman" w:cs="Times New Roman"/>
          <w:bCs/>
          <w:sz w:val="24"/>
          <w:szCs w:val="24"/>
        </w:rPr>
        <w:t>, in primis,</w:t>
      </w:r>
      <w:r w:rsidRPr="000509A2">
        <w:rPr>
          <w:rFonts w:ascii="Times New Roman" w:hAnsi="Times New Roman" w:cs="Times New Roman"/>
          <w:bCs/>
          <w:sz w:val="24"/>
          <w:szCs w:val="24"/>
        </w:rPr>
        <w:t xml:space="preserve"> che</w:t>
      </w:r>
      <w:r>
        <w:rPr>
          <w:rFonts w:ascii="Times New Roman" w:hAnsi="Times New Roman" w:cs="Times New Roman"/>
          <w:b/>
          <w:sz w:val="24"/>
          <w:szCs w:val="24"/>
        </w:rPr>
        <w:t xml:space="preserve"> l</w:t>
      </w:r>
      <w:r w:rsidR="00015155" w:rsidRPr="000D551F">
        <w:rPr>
          <w:rFonts w:ascii="Times New Roman" w:hAnsi="Times New Roman" w:cs="Times New Roman"/>
          <w:b/>
          <w:sz w:val="24"/>
          <w:szCs w:val="24"/>
        </w:rPr>
        <w:t xml:space="preserve">’art. 3 del </w:t>
      </w:r>
      <w:r w:rsidR="00ED2FFD" w:rsidRPr="000D551F">
        <w:rPr>
          <w:rFonts w:ascii="Times New Roman" w:hAnsi="Times New Roman" w:cs="Times New Roman"/>
          <w:b/>
          <w:sz w:val="24"/>
          <w:szCs w:val="24"/>
        </w:rPr>
        <w:t xml:space="preserve">D.L. n. 119/2018 </w:t>
      </w:r>
      <w:r w:rsidR="00ED2FFD" w:rsidRPr="00263296">
        <w:rPr>
          <w:rFonts w:ascii="Times New Roman" w:hAnsi="Times New Roman" w:cs="Times New Roman"/>
          <w:sz w:val="24"/>
          <w:szCs w:val="24"/>
        </w:rPr>
        <w:t xml:space="preserve">(convertito con modifiche in legge 17/12/2018, n. 136 - G.U. n. 293 del 18 dicembre 2018), </w:t>
      </w:r>
      <w:r w:rsidR="00ED2FFD" w:rsidRPr="000D551F">
        <w:rPr>
          <w:rFonts w:ascii="Times New Roman" w:hAnsi="Times New Roman" w:cs="Times New Roman"/>
          <w:b/>
          <w:sz w:val="24"/>
          <w:szCs w:val="24"/>
        </w:rPr>
        <w:t>ha riproposto in un’ottica generale di “pacificazione fiscale”, la terza edizione della c.d. “rottamazione” delle cartelle</w:t>
      </w:r>
      <w:r w:rsidR="00ED2FFD" w:rsidRPr="00263296">
        <w:rPr>
          <w:rFonts w:ascii="Times New Roman" w:hAnsi="Times New Roman" w:cs="Times New Roman"/>
          <w:sz w:val="24"/>
          <w:szCs w:val="24"/>
        </w:rPr>
        <w:t>.</w:t>
      </w:r>
    </w:p>
    <w:p w14:paraId="1D5FD00D" w14:textId="77777777" w:rsidR="00015155" w:rsidRPr="00263296" w:rsidRDefault="00ED2FFD" w:rsidP="00263296">
      <w:pPr>
        <w:spacing w:after="0" w:line="360" w:lineRule="auto"/>
        <w:ind w:left="567" w:right="566"/>
        <w:jc w:val="both"/>
        <w:rPr>
          <w:rFonts w:ascii="Times New Roman" w:hAnsi="Times New Roman" w:cs="Times New Roman"/>
          <w:sz w:val="24"/>
          <w:szCs w:val="24"/>
        </w:rPr>
      </w:pPr>
      <w:r w:rsidRPr="00263296">
        <w:rPr>
          <w:rFonts w:ascii="Times New Roman" w:hAnsi="Times New Roman" w:cs="Times New Roman"/>
          <w:sz w:val="24"/>
          <w:szCs w:val="24"/>
        </w:rPr>
        <w:t>Il provvedimento, sulla falsa riga delle precedenti edizioni (disciplinate dall’art. 6, D.L. n. 193/2016 e dall’art. 1, D.L. n. 148/2017), ha previsto la possibilità di definire i carichi affidati all’agente della riscossione nel periodo compreso tra il 2000 e il 2017</w:t>
      </w:r>
      <w:r w:rsidR="00015155" w:rsidRPr="00263296">
        <w:rPr>
          <w:rFonts w:ascii="Times New Roman" w:hAnsi="Times New Roman" w:cs="Times New Roman"/>
          <w:sz w:val="24"/>
          <w:szCs w:val="24"/>
        </w:rPr>
        <w:t xml:space="preserve">. Di fatto, è stata riproposta anche in questo caso la possibilità di provvedere all’estinzione di un </w:t>
      </w:r>
      <w:r w:rsidR="00015155" w:rsidRPr="00263296">
        <w:rPr>
          <w:rFonts w:ascii="Times New Roman" w:hAnsi="Times New Roman" w:cs="Times New Roman"/>
          <w:sz w:val="24"/>
          <w:szCs w:val="24"/>
        </w:rPr>
        <w:lastRenderedPageBreak/>
        <w:t xml:space="preserve">proprio debito con il Fisco, senza dover versare al contempo gli importi relativi alle sanzioni e agli interessi </w:t>
      </w:r>
      <w:r w:rsidR="0005460C">
        <w:rPr>
          <w:rFonts w:ascii="Times New Roman" w:hAnsi="Times New Roman" w:cs="Times New Roman"/>
          <w:sz w:val="24"/>
          <w:szCs w:val="24"/>
        </w:rPr>
        <w:t xml:space="preserve">di </w:t>
      </w:r>
      <w:r w:rsidR="00015155" w:rsidRPr="00263296">
        <w:rPr>
          <w:rFonts w:ascii="Times New Roman" w:hAnsi="Times New Roman" w:cs="Times New Roman"/>
          <w:sz w:val="24"/>
          <w:szCs w:val="24"/>
        </w:rPr>
        <w:t>mora.</w:t>
      </w:r>
    </w:p>
    <w:p w14:paraId="7FBD33DF" w14:textId="77777777" w:rsidR="00AE4511" w:rsidRPr="00263296" w:rsidRDefault="00015155" w:rsidP="00263296">
      <w:pPr>
        <w:spacing w:after="0" w:line="360" w:lineRule="auto"/>
        <w:ind w:left="567" w:right="566"/>
        <w:jc w:val="both"/>
        <w:rPr>
          <w:rFonts w:ascii="Times New Roman" w:hAnsi="Times New Roman" w:cs="Times New Roman"/>
          <w:sz w:val="24"/>
          <w:szCs w:val="24"/>
        </w:rPr>
      </w:pPr>
      <w:r w:rsidRPr="00263296">
        <w:rPr>
          <w:rFonts w:ascii="Times New Roman" w:hAnsi="Times New Roman" w:cs="Times New Roman"/>
          <w:sz w:val="24"/>
          <w:szCs w:val="24"/>
        </w:rPr>
        <w:t>Una delle novità di maggior rilievo è da rinvenirsi</w:t>
      </w:r>
      <w:r w:rsidR="0005460C">
        <w:rPr>
          <w:rFonts w:ascii="Times New Roman" w:hAnsi="Times New Roman" w:cs="Times New Roman"/>
          <w:sz w:val="24"/>
          <w:szCs w:val="24"/>
        </w:rPr>
        <w:t xml:space="preserve"> </w:t>
      </w:r>
      <w:r w:rsidRPr="00263296">
        <w:rPr>
          <w:rFonts w:ascii="Times New Roman" w:hAnsi="Times New Roman" w:cs="Times New Roman"/>
          <w:sz w:val="24"/>
          <w:szCs w:val="24"/>
        </w:rPr>
        <w:t xml:space="preserve">nella tempistica dei versamenti delle somme dovute; il decreto legge </w:t>
      </w:r>
      <w:r w:rsidR="00F87132">
        <w:rPr>
          <w:rFonts w:ascii="Times New Roman" w:hAnsi="Times New Roman" w:cs="Times New Roman"/>
          <w:sz w:val="24"/>
          <w:szCs w:val="24"/>
        </w:rPr>
        <w:t xml:space="preserve">n. 119/2018 </w:t>
      </w:r>
      <w:r w:rsidRPr="00263296">
        <w:rPr>
          <w:rFonts w:ascii="Times New Roman" w:hAnsi="Times New Roman" w:cs="Times New Roman"/>
          <w:sz w:val="24"/>
          <w:szCs w:val="24"/>
        </w:rPr>
        <w:t xml:space="preserve">ha, infatti, previsto </w:t>
      </w:r>
      <w:r w:rsidRPr="00263296">
        <w:rPr>
          <w:rFonts w:ascii="Times New Roman" w:hAnsi="Times New Roman" w:cs="Times New Roman"/>
          <w:b/>
          <w:sz w:val="24"/>
          <w:szCs w:val="24"/>
        </w:rPr>
        <w:t>un numero massimo di 18 rate</w:t>
      </w:r>
      <w:r w:rsidRPr="00263296">
        <w:rPr>
          <w:rFonts w:ascii="Times New Roman" w:hAnsi="Times New Roman" w:cs="Times New Roman"/>
          <w:sz w:val="24"/>
          <w:szCs w:val="24"/>
        </w:rPr>
        <w:t xml:space="preserve"> (per un massimo di cinque annualità)</w:t>
      </w:r>
      <w:r w:rsidR="00AE4511" w:rsidRPr="00263296">
        <w:rPr>
          <w:sz w:val="24"/>
          <w:szCs w:val="24"/>
        </w:rPr>
        <w:t xml:space="preserve"> </w:t>
      </w:r>
      <w:r w:rsidR="00AE4511" w:rsidRPr="00263296">
        <w:rPr>
          <w:rFonts w:ascii="Times New Roman" w:hAnsi="Times New Roman" w:cs="Times New Roman"/>
          <w:sz w:val="24"/>
          <w:szCs w:val="24"/>
        </w:rPr>
        <w:t>da versare:</w:t>
      </w:r>
    </w:p>
    <w:p w14:paraId="187BF836" w14:textId="77777777" w:rsidR="00AE4511" w:rsidRPr="00263296" w:rsidRDefault="00AE4511" w:rsidP="00263296">
      <w:pPr>
        <w:pStyle w:val="Paragrafoelenco"/>
        <w:numPr>
          <w:ilvl w:val="0"/>
          <w:numId w:val="1"/>
        </w:numPr>
        <w:spacing w:after="0" w:line="360" w:lineRule="auto"/>
        <w:ind w:left="1134" w:right="566" w:firstLine="0"/>
        <w:jc w:val="both"/>
        <w:rPr>
          <w:rFonts w:ascii="Times New Roman" w:hAnsi="Times New Roman" w:cs="Times New Roman"/>
          <w:sz w:val="24"/>
          <w:szCs w:val="24"/>
        </w:rPr>
      </w:pPr>
      <w:r w:rsidRPr="00263296">
        <w:rPr>
          <w:rFonts w:ascii="Times New Roman" w:hAnsi="Times New Roman" w:cs="Times New Roman"/>
          <w:sz w:val="24"/>
          <w:szCs w:val="24"/>
        </w:rPr>
        <w:t xml:space="preserve">le prime due (pari ciascuna al 10%) entro il </w:t>
      </w:r>
      <w:r w:rsidRPr="00263296">
        <w:rPr>
          <w:rFonts w:ascii="Times New Roman" w:hAnsi="Times New Roman" w:cs="Times New Roman"/>
          <w:b/>
          <w:sz w:val="24"/>
          <w:szCs w:val="24"/>
        </w:rPr>
        <w:t>31 luglio</w:t>
      </w:r>
      <w:r w:rsidRPr="00263296">
        <w:rPr>
          <w:rFonts w:ascii="Times New Roman" w:hAnsi="Times New Roman" w:cs="Times New Roman"/>
          <w:sz w:val="24"/>
          <w:szCs w:val="24"/>
        </w:rPr>
        <w:t xml:space="preserve"> e il </w:t>
      </w:r>
      <w:r w:rsidRPr="00263296">
        <w:rPr>
          <w:rFonts w:ascii="Times New Roman" w:hAnsi="Times New Roman" w:cs="Times New Roman"/>
          <w:b/>
          <w:sz w:val="24"/>
          <w:szCs w:val="24"/>
        </w:rPr>
        <w:t>30 novembre 2019</w:t>
      </w:r>
      <w:r w:rsidRPr="00263296">
        <w:rPr>
          <w:rFonts w:ascii="Times New Roman" w:hAnsi="Times New Roman" w:cs="Times New Roman"/>
          <w:sz w:val="24"/>
          <w:szCs w:val="24"/>
        </w:rPr>
        <w:t>;</w:t>
      </w:r>
    </w:p>
    <w:p w14:paraId="66EDEF61" w14:textId="77777777" w:rsidR="00AE4511" w:rsidRPr="00263296" w:rsidRDefault="00AE4511" w:rsidP="00263296">
      <w:pPr>
        <w:pStyle w:val="Paragrafoelenco"/>
        <w:numPr>
          <w:ilvl w:val="0"/>
          <w:numId w:val="1"/>
        </w:numPr>
        <w:spacing w:after="0" w:line="360" w:lineRule="auto"/>
        <w:ind w:left="1134" w:right="566" w:firstLine="0"/>
        <w:jc w:val="both"/>
        <w:rPr>
          <w:rFonts w:ascii="Times New Roman" w:hAnsi="Times New Roman" w:cs="Times New Roman"/>
          <w:sz w:val="24"/>
          <w:szCs w:val="24"/>
        </w:rPr>
      </w:pPr>
      <w:r w:rsidRPr="00263296">
        <w:rPr>
          <w:rFonts w:ascii="Times New Roman" w:hAnsi="Times New Roman" w:cs="Times New Roman"/>
          <w:sz w:val="24"/>
          <w:szCs w:val="24"/>
        </w:rPr>
        <w:t xml:space="preserve">le restanti 16, di pari importo, scadenti il </w:t>
      </w:r>
      <w:r w:rsidRPr="00263296">
        <w:rPr>
          <w:rFonts w:ascii="Times New Roman" w:hAnsi="Times New Roman" w:cs="Times New Roman"/>
          <w:b/>
          <w:sz w:val="24"/>
          <w:szCs w:val="24"/>
        </w:rPr>
        <w:t>28 febbraio, il 31 maggio, il 31 luglio e il 30 novembre</w:t>
      </w:r>
      <w:r w:rsidRPr="00263296">
        <w:rPr>
          <w:rFonts w:ascii="Times New Roman" w:hAnsi="Times New Roman" w:cs="Times New Roman"/>
          <w:sz w:val="24"/>
          <w:szCs w:val="24"/>
        </w:rPr>
        <w:t xml:space="preserve"> di ciascun anno a decorrere dal 2020.</w:t>
      </w:r>
    </w:p>
    <w:p w14:paraId="51054C2E" w14:textId="02925781" w:rsidR="00B9403E" w:rsidRDefault="003F3DB8" w:rsidP="003F3DB8">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I</w:t>
      </w:r>
      <w:r w:rsidR="00AE4511" w:rsidRPr="00263296">
        <w:rPr>
          <w:rFonts w:ascii="Times New Roman" w:hAnsi="Times New Roman" w:cs="Times New Roman"/>
          <w:sz w:val="24"/>
          <w:szCs w:val="24"/>
        </w:rPr>
        <w:t>l tasso di interesse per fruire della dilazione è stato fissato nella misura del 2% annuo, calcolato a partire dal 1° agosto 2019.</w:t>
      </w:r>
      <w:r w:rsidR="00015155" w:rsidRPr="00263296">
        <w:rPr>
          <w:rFonts w:ascii="Times New Roman" w:hAnsi="Times New Roman" w:cs="Times New Roman"/>
          <w:sz w:val="24"/>
          <w:szCs w:val="24"/>
        </w:rPr>
        <w:t xml:space="preserve"> </w:t>
      </w:r>
    </w:p>
    <w:p w14:paraId="34C1A63F" w14:textId="29A211F5" w:rsidR="000509A2" w:rsidRPr="000509A2" w:rsidRDefault="000509A2" w:rsidP="000509A2">
      <w:pPr>
        <w:spacing w:after="0" w:line="360" w:lineRule="auto"/>
        <w:ind w:left="567" w:right="566"/>
        <w:jc w:val="both"/>
        <w:rPr>
          <w:rFonts w:ascii="Times New Roman" w:hAnsi="Times New Roman" w:cs="Times New Roman"/>
          <w:bCs/>
          <w:sz w:val="24"/>
          <w:szCs w:val="24"/>
        </w:rPr>
      </w:pPr>
      <w:r w:rsidRPr="000509A2">
        <w:rPr>
          <w:rFonts w:ascii="Times New Roman" w:hAnsi="Times New Roman" w:cs="Times New Roman"/>
          <w:bCs/>
          <w:sz w:val="24"/>
          <w:szCs w:val="24"/>
        </w:rPr>
        <w:t xml:space="preserve">Inoltre, nel caso di pagamento tardivo, è </w:t>
      </w:r>
      <w:r w:rsidR="002F76C9">
        <w:rPr>
          <w:rFonts w:ascii="Times New Roman" w:hAnsi="Times New Roman" w:cs="Times New Roman"/>
          <w:bCs/>
          <w:sz w:val="24"/>
          <w:szCs w:val="24"/>
        </w:rPr>
        <w:t xml:space="preserve">stata </w:t>
      </w:r>
      <w:r w:rsidRPr="000509A2">
        <w:rPr>
          <w:rFonts w:ascii="Times New Roman" w:hAnsi="Times New Roman" w:cs="Times New Roman"/>
          <w:bCs/>
          <w:sz w:val="24"/>
          <w:szCs w:val="24"/>
        </w:rPr>
        <w:t>prevista al massimo una tolleranza di cinque giorni</w:t>
      </w:r>
      <w:r w:rsidR="00A241CF">
        <w:rPr>
          <w:rFonts w:ascii="Times New Roman" w:hAnsi="Times New Roman" w:cs="Times New Roman"/>
          <w:bCs/>
          <w:sz w:val="24"/>
          <w:szCs w:val="24"/>
        </w:rPr>
        <w:t>;</w:t>
      </w:r>
      <w:r w:rsidRPr="000509A2">
        <w:rPr>
          <w:rFonts w:ascii="Times New Roman" w:hAnsi="Times New Roman" w:cs="Times New Roman"/>
          <w:bCs/>
          <w:sz w:val="24"/>
          <w:szCs w:val="24"/>
        </w:rPr>
        <w:t xml:space="preserve"> </w:t>
      </w:r>
      <w:r w:rsidR="00A241CF">
        <w:rPr>
          <w:rFonts w:ascii="Times New Roman" w:hAnsi="Times New Roman" w:cs="Times New Roman"/>
          <w:bCs/>
          <w:sz w:val="24"/>
          <w:szCs w:val="24"/>
        </w:rPr>
        <w:t>s</w:t>
      </w:r>
      <w:r w:rsidRPr="000509A2">
        <w:rPr>
          <w:rFonts w:ascii="Times New Roman" w:hAnsi="Times New Roman" w:cs="Times New Roman"/>
          <w:bCs/>
          <w:sz w:val="24"/>
          <w:szCs w:val="24"/>
        </w:rPr>
        <w:t>i tratta della c.d. misura del</w:t>
      </w:r>
      <w:r w:rsidRPr="000509A2">
        <w:rPr>
          <w:rFonts w:ascii="Times New Roman" w:hAnsi="Times New Roman" w:cs="Times New Roman"/>
          <w:b/>
          <w:bCs/>
          <w:sz w:val="24"/>
          <w:szCs w:val="24"/>
        </w:rPr>
        <w:t xml:space="preserve"> “lieve inadempimento”, in base alla quale la sanatoria continuerà a ritenersi efficace, solo laddove il ritardo nel pagamento delle rate non superi i 5 giorni. </w:t>
      </w:r>
    </w:p>
    <w:p w14:paraId="04137E94" w14:textId="77777777" w:rsidR="009A6AC8" w:rsidRDefault="009A6AC8" w:rsidP="009A6AC8">
      <w:pPr>
        <w:spacing w:after="0" w:line="360" w:lineRule="auto"/>
        <w:ind w:left="567" w:right="566"/>
        <w:jc w:val="both"/>
        <w:rPr>
          <w:rFonts w:ascii="Times New Roman" w:hAnsi="Times New Roman" w:cs="Times New Roman"/>
          <w:bCs/>
          <w:sz w:val="24"/>
          <w:szCs w:val="24"/>
          <w:u w:val="single"/>
        </w:rPr>
      </w:pPr>
    </w:p>
    <w:p w14:paraId="7AEBB660" w14:textId="58CEAD84" w:rsidR="009A6AC8" w:rsidRPr="009A6AC8" w:rsidRDefault="00EE3F44" w:rsidP="00DB0505">
      <w:pPr>
        <w:pStyle w:val="Paragrafoelenco"/>
        <w:numPr>
          <w:ilvl w:val="0"/>
          <w:numId w:val="15"/>
        </w:numPr>
        <w:spacing w:after="0" w:line="360" w:lineRule="auto"/>
        <w:ind w:right="566"/>
        <w:jc w:val="both"/>
        <w:rPr>
          <w:rFonts w:ascii="Times New Roman" w:hAnsi="Times New Roman" w:cs="Times New Roman"/>
          <w:b/>
          <w:bCs/>
          <w:i/>
          <w:sz w:val="24"/>
          <w:szCs w:val="24"/>
        </w:rPr>
      </w:pPr>
      <w:r>
        <w:rPr>
          <w:rFonts w:ascii="Times New Roman" w:hAnsi="Times New Roman" w:cs="Times New Roman"/>
          <w:b/>
          <w:bCs/>
          <w:i/>
          <w:sz w:val="24"/>
          <w:szCs w:val="24"/>
        </w:rPr>
        <w:t xml:space="preserve">Bozza di </w:t>
      </w:r>
      <w:r w:rsidR="00A241CF">
        <w:rPr>
          <w:rFonts w:ascii="Times New Roman" w:hAnsi="Times New Roman" w:cs="Times New Roman"/>
          <w:b/>
          <w:bCs/>
          <w:i/>
          <w:sz w:val="24"/>
          <w:szCs w:val="24"/>
        </w:rPr>
        <w:t>d</w:t>
      </w:r>
      <w:r>
        <w:rPr>
          <w:rFonts w:ascii="Times New Roman" w:hAnsi="Times New Roman" w:cs="Times New Roman"/>
          <w:b/>
          <w:bCs/>
          <w:i/>
          <w:sz w:val="24"/>
          <w:szCs w:val="24"/>
        </w:rPr>
        <w:t xml:space="preserve">ecreto fiscale </w:t>
      </w:r>
      <w:r w:rsidR="000509A2">
        <w:rPr>
          <w:rFonts w:ascii="Times New Roman" w:hAnsi="Times New Roman" w:cs="Times New Roman"/>
          <w:b/>
          <w:bCs/>
          <w:i/>
          <w:sz w:val="24"/>
          <w:szCs w:val="24"/>
        </w:rPr>
        <w:t>e la r</w:t>
      </w:r>
      <w:r w:rsidR="009A6AC8" w:rsidRPr="009A6AC8">
        <w:rPr>
          <w:rFonts w:ascii="Times New Roman" w:hAnsi="Times New Roman" w:cs="Times New Roman"/>
          <w:b/>
          <w:bCs/>
          <w:i/>
          <w:sz w:val="24"/>
          <w:szCs w:val="24"/>
        </w:rPr>
        <w:t>iapertura dei termini</w:t>
      </w:r>
      <w:r w:rsidR="009A6AC8">
        <w:rPr>
          <w:rFonts w:ascii="Times New Roman" w:hAnsi="Times New Roman" w:cs="Times New Roman"/>
          <w:b/>
          <w:bCs/>
          <w:i/>
          <w:sz w:val="24"/>
          <w:szCs w:val="24"/>
        </w:rPr>
        <w:t>.</w:t>
      </w:r>
    </w:p>
    <w:p w14:paraId="53877D58" w14:textId="2C82FE92" w:rsidR="003F3DB8" w:rsidRDefault="009A6AC8" w:rsidP="00263296">
      <w:pPr>
        <w:spacing w:after="0" w:line="360" w:lineRule="auto"/>
        <w:ind w:left="567" w:right="566"/>
        <w:jc w:val="both"/>
        <w:rPr>
          <w:rFonts w:ascii="Times New Roman" w:hAnsi="Times New Roman" w:cs="Times New Roman"/>
          <w:b/>
          <w:bCs/>
          <w:sz w:val="24"/>
          <w:szCs w:val="24"/>
        </w:rPr>
      </w:pPr>
      <w:r>
        <w:rPr>
          <w:rFonts w:ascii="Times New Roman" w:hAnsi="Times New Roman" w:cs="Times New Roman"/>
          <w:sz w:val="24"/>
          <w:szCs w:val="24"/>
        </w:rPr>
        <w:t>C</w:t>
      </w:r>
      <w:r w:rsidR="00015155" w:rsidRPr="00263296">
        <w:rPr>
          <w:rFonts w:ascii="Times New Roman" w:hAnsi="Times New Roman" w:cs="Times New Roman"/>
          <w:sz w:val="24"/>
          <w:szCs w:val="24"/>
        </w:rPr>
        <w:t xml:space="preserve">ome noto, il </w:t>
      </w:r>
      <w:r w:rsidR="00015155" w:rsidRPr="00263296">
        <w:rPr>
          <w:rFonts w:ascii="Times New Roman" w:hAnsi="Times New Roman" w:cs="Times New Roman"/>
          <w:b/>
          <w:sz w:val="24"/>
          <w:szCs w:val="24"/>
        </w:rPr>
        <w:t>30 aprile 2019 è scaduto il termine ultimo per aderire</w:t>
      </w:r>
      <w:r w:rsidR="00015155" w:rsidRPr="00263296">
        <w:rPr>
          <w:rFonts w:ascii="Times New Roman" w:hAnsi="Times New Roman" w:cs="Times New Roman"/>
          <w:sz w:val="24"/>
          <w:szCs w:val="24"/>
        </w:rPr>
        <w:t xml:space="preserve"> </w:t>
      </w:r>
      <w:r w:rsidR="00015155" w:rsidRPr="009A6AC8">
        <w:rPr>
          <w:rFonts w:ascii="Times New Roman" w:hAnsi="Times New Roman" w:cs="Times New Roman"/>
          <w:b/>
          <w:bCs/>
          <w:sz w:val="24"/>
          <w:szCs w:val="24"/>
        </w:rPr>
        <w:t xml:space="preserve">alla </w:t>
      </w:r>
      <w:r w:rsidR="000509A2">
        <w:rPr>
          <w:rFonts w:ascii="Times New Roman" w:hAnsi="Times New Roman" w:cs="Times New Roman"/>
          <w:b/>
          <w:bCs/>
          <w:sz w:val="24"/>
          <w:szCs w:val="24"/>
        </w:rPr>
        <w:t>“</w:t>
      </w:r>
      <w:r w:rsidR="00015155" w:rsidRPr="009A6AC8">
        <w:rPr>
          <w:rFonts w:ascii="Times New Roman" w:hAnsi="Times New Roman" w:cs="Times New Roman"/>
          <w:b/>
          <w:bCs/>
          <w:sz w:val="24"/>
          <w:szCs w:val="24"/>
        </w:rPr>
        <w:t>rottamazione</w:t>
      </w:r>
      <w:r w:rsidRPr="009A6AC8">
        <w:rPr>
          <w:rFonts w:ascii="Times New Roman" w:hAnsi="Times New Roman" w:cs="Times New Roman"/>
          <w:b/>
          <w:bCs/>
          <w:sz w:val="24"/>
          <w:szCs w:val="24"/>
        </w:rPr>
        <w:t>-ter</w:t>
      </w:r>
      <w:r w:rsidR="000509A2">
        <w:rPr>
          <w:rFonts w:ascii="Times New Roman" w:hAnsi="Times New Roman" w:cs="Times New Roman"/>
          <w:b/>
          <w:bCs/>
          <w:sz w:val="24"/>
          <w:szCs w:val="24"/>
        </w:rPr>
        <w:t>”</w:t>
      </w:r>
      <w:r>
        <w:rPr>
          <w:rFonts w:ascii="Times New Roman" w:hAnsi="Times New Roman" w:cs="Times New Roman"/>
          <w:b/>
          <w:bCs/>
          <w:sz w:val="24"/>
          <w:szCs w:val="24"/>
        </w:rPr>
        <w:t xml:space="preserve"> </w:t>
      </w:r>
      <w:r w:rsidRPr="009A6AC8">
        <w:rPr>
          <w:rFonts w:ascii="Times New Roman" w:hAnsi="Times New Roman" w:cs="Times New Roman"/>
          <w:b/>
          <w:bCs/>
          <w:sz w:val="24"/>
          <w:szCs w:val="24"/>
        </w:rPr>
        <w:t>delle cartelle</w:t>
      </w:r>
      <w:r w:rsidR="003F3DB8">
        <w:rPr>
          <w:rFonts w:ascii="Times New Roman" w:hAnsi="Times New Roman" w:cs="Times New Roman"/>
          <w:b/>
          <w:bCs/>
          <w:sz w:val="24"/>
          <w:szCs w:val="24"/>
        </w:rPr>
        <w:t xml:space="preserve"> e il 31 luglio è scaduto il termine per provvedere al pagamento della prima o unica rata.</w:t>
      </w:r>
    </w:p>
    <w:p w14:paraId="54253077" w14:textId="386CFDA8" w:rsidR="009A6AC8" w:rsidRDefault="00AE4511" w:rsidP="00263296">
      <w:pPr>
        <w:spacing w:after="0" w:line="360" w:lineRule="auto"/>
        <w:ind w:left="567" w:right="566"/>
        <w:jc w:val="both"/>
        <w:rPr>
          <w:rFonts w:ascii="Times New Roman" w:hAnsi="Times New Roman" w:cs="Times New Roman"/>
          <w:b/>
          <w:sz w:val="24"/>
          <w:szCs w:val="24"/>
        </w:rPr>
      </w:pPr>
      <w:r w:rsidRPr="00263296">
        <w:rPr>
          <w:rFonts w:ascii="Times New Roman" w:hAnsi="Times New Roman" w:cs="Times New Roman"/>
          <w:sz w:val="24"/>
          <w:szCs w:val="24"/>
        </w:rPr>
        <w:t xml:space="preserve">A ogni modo, </w:t>
      </w:r>
      <w:r w:rsidRPr="00263296">
        <w:rPr>
          <w:rFonts w:ascii="Times New Roman" w:hAnsi="Times New Roman" w:cs="Times New Roman"/>
          <w:b/>
          <w:sz w:val="24"/>
          <w:szCs w:val="24"/>
        </w:rPr>
        <w:t xml:space="preserve">per </w:t>
      </w:r>
      <w:r w:rsidR="004D4B0F" w:rsidRPr="00263296">
        <w:rPr>
          <w:rFonts w:ascii="Times New Roman" w:hAnsi="Times New Roman" w:cs="Times New Roman"/>
          <w:b/>
          <w:sz w:val="24"/>
          <w:szCs w:val="24"/>
        </w:rPr>
        <w:t xml:space="preserve">la </w:t>
      </w:r>
      <w:r w:rsidR="009A6AC8">
        <w:rPr>
          <w:rFonts w:ascii="Times New Roman" w:hAnsi="Times New Roman" w:cs="Times New Roman"/>
          <w:b/>
          <w:sz w:val="24"/>
          <w:szCs w:val="24"/>
        </w:rPr>
        <w:t xml:space="preserve">terza versione della </w:t>
      </w:r>
      <w:r w:rsidRPr="00263296">
        <w:rPr>
          <w:rFonts w:ascii="Times New Roman" w:hAnsi="Times New Roman" w:cs="Times New Roman"/>
          <w:b/>
          <w:sz w:val="24"/>
          <w:szCs w:val="24"/>
        </w:rPr>
        <w:t>rottamazione</w:t>
      </w:r>
      <w:r w:rsidR="00984E9D" w:rsidRPr="00263296">
        <w:rPr>
          <w:rFonts w:ascii="Times New Roman" w:hAnsi="Times New Roman" w:cs="Times New Roman"/>
          <w:b/>
          <w:sz w:val="24"/>
          <w:szCs w:val="24"/>
        </w:rPr>
        <w:t xml:space="preserve">, la procedura di adesione </w:t>
      </w:r>
      <w:r w:rsidR="009A6AC8">
        <w:rPr>
          <w:rFonts w:ascii="Times New Roman" w:hAnsi="Times New Roman" w:cs="Times New Roman"/>
          <w:b/>
          <w:sz w:val="24"/>
          <w:szCs w:val="24"/>
        </w:rPr>
        <w:t xml:space="preserve">non è realmente </w:t>
      </w:r>
      <w:r w:rsidR="00984E9D" w:rsidRPr="00263296">
        <w:rPr>
          <w:rFonts w:ascii="Times New Roman" w:hAnsi="Times New Roman" w:cs="Times New Roman"/>
          <w:b/>
          <w:sz w:val="24"/>
          <w:szCs w:val="24"/>
        </w:rPr>
        <w:t>spirata</w:t>
      </w:r>
      <w:r w:rsidR="009A6AC8">
        <w:rPr>
          <w:rFonts w:ascii="Times New Roman" w:hAnsi="Times New Roman" w:cs="Times New Roman"/>
          <w:b/>
          <w:sz w:val="24"/>
          <w:szCs w:val="24"/>
        </w:rPr>
        <w:t>.</w:t>
      </w:r>
    </w:p>
    <w:p w14:paraId="31C138C5" w14:textId="25199B7C" w:rsidR="009A6AC8" w:rsidRPr="0032121D" w:rsidRDefault="00094434" w:rsidP="00571058">
      <w:pPr>
        <w:spacing w:after="0" w:line="360" w:lineRule="auto"/>
        <w:ind w:left="567" w:right="566"/>
        <w:jc w:val="both"/>
        <w:rPr>
          <w:rFonts w:ascii="Times New Roman" w:hAnsi="Times New Roman" w:cs="Times New Roman"/>
          <w:b/>
          <w:sz w:val="24"/>
          <w:szCs w:val="24"/>
        </w:rPr>
      </w:pPr>
      <w:r w:rsidRPr="00094434">
        <w:rPr>
          <w:rFonts w:ascii="Times New Roman" w:hAnsi="Times New Roman" w:cs="Times New Roman"/>
          <w:bCs/>
          <w:sz w:val="24"/>
          <w:szCs w:val="24"/>
        </w:rPr>
        <w:t xml:space="preserve">Come già rilevato in premessa, </w:t>
      </w:r>
      <w:r w:rsidR="003F3DB8">
        <w:rPr>
          <w:rFonts w:ascii="Times New Roman" w:hAnsi="Times New Roman" w:cs="Times New Roman"/>
          <w:b/>
          <w:iCs/>
          <w:sz w:val="24"/>
          <w:szCs w:val="24"/>
        </w:rPr>
        <w:t>l’art. 36 del</w:t>
      </w:r>
      <w:r w:rsidR="002F76C9">
        <w:rPr>
          <w:rFonts w:ascii="Times New Roman" w:hAnsi="Times New Roman" w:cs="Times New Roman"/>
          <w:b/>
          <w:iCs/>
          <w:sz w:val="24"/>
          <w:szCs w:val="24"/>
        </w:rPr>
        <w:t>la bozza del</w:t>
      </w:r>
      <w:r w:rsidR="003F3DB8">
        <w:rPr>
          <w:rFonts w:ascii="Times New Roman" w:hAnsi="Times New Roman" w:cs="Times New Roman"/>
          <w:b/>
          <w:iCs/>
          <w:sz w:val="24"/>
          <w:szCs w:val="24"/>
        </w:rPr>
        <w:t xml:space="preserve"> decreto fiscale (ancora in fase di definizione)</w:t>
      </w:r>
      <w:r w:rsidRPr="00C250B4">
        <w:rPr>
          <w:rFonts w:ascii="Times New Roman" w:hAnsi="Times New Roman" w:cs="Times New Roman"/>
          <w:b/>
          <w:iCs/>
          <w:sz w:val="24"/>
          <w:szCs w:val="24"/>
        </w:rPr>
        <w:t xml:space="preserve">, ha riaperto i termini per </w:t>
      </w:r>
      <w:r w:rsidR="00571058" w:rsidRPr="0032121D">
        <w:rPr>
          <w:rFonts w:ascii="Times New Roman" w:hAnsi="Times New Roman" w:cs="Times New Roman"/>
          <w:b/>
          <w:sz w:val="24"/>
          <w:szCs w:val="24"/>
        </w:rPr>
        <w:t>accedere all</w:t>
      </w:r>
      <w:r w:rsidR="003F3DB8">
        <w:rPr>
          <w:rFonts w:ascii="Times New Roman" w:hAnsi="Times New Roman" w:cs="Times New Roman"/>
          <w:b/>
          <w:sz w:val="24"/>
          <w:szCs w:val="24"/>
        </w:rPr>
        <w:t>a</w:t>
      </w:r>
      <w:r w:rsidR="002F76C9">
        <w:rPr>
          <w:rFonts w:ascii="Times New Roman" w:hAnsi="Times New Roman" w:cs="Times New Roman"/>
          <w:b/>
          <w:sz w:val="24"/>
          <w:szCs w:val="24"/>
        </w:rPr>
        <w:t xml:space="preserve"> </w:t>
      </w:r>
      <w:r w:rsidR="009A6AC8" w:rsidRPr="0032121D">
        <w:rPr>
          <w:rFonts w:ascii="Times New Roman" w:hAnsi="Times New Roman" w:cs="Times New Roman"/>
          <w:b/>
          <w:sz w:val="24"/>
          <w:szCs w:val="24"/>
        </w:rPr>
        <w:t>sanatoria</w:t>
      </w:r>
      <w:r w:rsidR="0049072A">
        <w:rPr>
          <w:rFonts w:ascii="Times New Roman" w:hAnsi="Times New Roman" w:cs="Times New Roman"/>
          <w:b/>
          <w:sz w:val="24"/>
          <w:szCs w:val="24"/>
        </w:rPr>
        <w:t xml:space="preserve"> </w:t>
      </w:r>
      <w:r w:rsidR="0049072A" w:rsidRPr="0049072A">
        <w:rPr>
          <w:rFonts w:ascii="Times New Roman" w:hAnsi="Times New Roman" w:cs="Times New Roman"/>
          <w:b/>
          <w:i/>
          <w:iCs/>
          <w:sz w:val="24"/>
          <w:szCs w:val="24"/>
        </w:rPr>
        <w:t>de qua</w:t>
      </w:r>
      <w:r w:rsidR="009A6AC8" w:rsidRPr="0049072A">
        <w:rPr>
          <w:rFonts w:ascii="Times New Roman" w:hAnsi="Times New Roman" w:cs="Times New Roman"/>
          <w:b/>
          <w:i/>
          <w:iCs/>
          <w:sz w:val="24"/>
          <w:szCs w:val="24"/>
        </w:rPr>
        <w:t>.</w:t>
      </w:r>
      <w:r w:rsidR="00571058" w:rsidRPr="0032121D">
        <w:rPr>
          <w:rFonts w:ascii="GentiumBookBasic" w:hAnsi="GentiumBookBasic"/>
          <w:b/>
          <w:color w:val="000000"/>
          <w:sz w:val="27"/>
          <w:szCs w:val="27"/>
          <w:shd w:val="clear" w:color="auto" w:fill="F5FBFF"/>
        </w:rPr>
        <w:t xml:space="preserve"> </w:t>
      </w:r>
    </w:p>
    <w:p w14:paraId="2D237B9A" w14:textId="0E6A0D58" w:rsidR="00A241CF" w:rsidRDefault="00A346B5" w:rsidP="001B1E99">
      <w:pPr>
        <w:spacing w:after="0" w:line="360" w:lineRule="auto"/>
        <w:ind w:left="567" w:right="566"/>
        <w:jc w:val="both"/>
        <w:rPr>
          <w:rFonts w:ascii="Times New Roman" w:hAnsi="Times New Roman" w:cs="Times New Roman"/>
          <w:b/>
          <w:sz w:val="24"/>
          <w:szCs w:val="24"/>
        </w:rPr>
      </w:pPr>
      <w:r>
        <w:rPr>
          <w:rFonts w:ascii="Times New Roman" w:hAnsi="Times New Roman" w:cs="Times New Roman"/>
          <w:sz w:val="24"/>
          <w:szCs w:val="24"/>
        </w:rPr>
        <w:t xml:space="preserve">Più nel dettaglio, </w:t>
      </w:r>
      <w:r w:rsidR="0049072A">
        <w:rPr>
          <w:rFonts w:ascii="Times New Roman" w:hAnsi="Times New Roman" w:cs="Times New Roman"/>
          <w:b/>
          <w:bCs/>
          <w:sz w:val="24"/>
          <w:szCs w:val="24"/>
        </w:rPr>
        <w:t xml:space="preserve">l’art. 36 cit. </w:t>
      </w:r>
      <w:r w:rsidR="00614F85">
        <w:rPr>
          <w:rFonts w:ascii="Times New Roman" w:hAnsi="Times New Roman" w:cs="Times New Roman"/>
          <w:b/>
          <w:bCs/>
          <w:sz w:val="24"/>
          <w:szCs w:val="24"/>
        </w:rPr>
        <w:t>ha</w:t>
      </w:r>
      <w:r w:rsidR="00984E9D" w:rsidRPr="00263296">
        <w:rPr>
          <w:rFonts w:ascii="Times New Roman" w:hAnsi="Times New Roman" w:cs="Times New Roman"/>
          <w:sz w:val="24"/>
          <w:szCs w:val="24"/>
        </w:rPr>
        <w:t xml:space="preserve">, di fatto, </w:t>
      </w:r>
      <w:r w:rsidR="00C250B4" w:rsidRPr="00C250B4">
        <w:rPr>
          <w:rFonts w:ascii="Times New Roman" w:hAnsi="Times New Roman" w:cs="Times New Roman"/>
          <w:sz w:val="24"/>
          <w:szCs w:val="24"/>
        </w:rPr>
        <w:t xml:space="preserve">disposto </w:t>
      </w:r>
      <w:r w:rsidR="001752B1">
        <w:rPr>
          <w:rFonts w:ascii="Times New Roman" w:hAnsi="Times New Roman" w:cs="Times New Roman"/>
          <w:sz w:val="24"/>
          <w:szCs w:val="24"/>
        </w:rPr>
        <w:t>la “</w:t>
      </w:r>
      <w:r w:rsidR="001752B1" w:rsidRPr="001752B1">
        <w:rPr>
          <w:rFonts w:ascii="Times New Roman" w:hAnsi="Times New Roman" w:cs="Times New Roman"/>
          <w:b/>
          <w:bCs/>
          <w:i/>
          <w:iCs/>
          <w:sz w:val="24"/>
          <w:szCs w:val="24"/>
        </w:rPr>
        <w:t>Riapertura de</w:t>
      </w:r>
      <w:r w:rsidR="0049072A">
        <w:rPr>
          <w:rFonts w:ascii="Times New Roman" w:hAnsi="Times New Roman" w:cs="Times New Roman"/>
          <w:b/>
          <w:bCs/>
          <w:i/>
          <w:iCs/>
          <w:sz w:val="24"/>
          <w:szCs w:val="24"/>
        </w:rPr>
        <w:t>l termine di pagamento della prima rata della definizione agevolata di cui all’articolo 3 del decreto-legge n.119 del 2018</w:t>
      </w:r>
      <w:r w:rsidR="001752B1" w:rsidRPr="001752B1">
        <w:rPr>
          <w:rFonts w:ascii="Times New Roman" w:hAnsi="Times New Roman" w:cs="Times New Roman"/>
          <w:b/>
          <w:bCs/>
          <w:i/>
          <w:iCs/>
          <w:sz w:val="24"/>
          <w:szCs w:val="24"/>
        </w:rPr>
        <w:t>”</w:t>
      </w:r>
      <w:r w:rsidR="001B1E99">
        <w:rPr>
          <w:rFonts w:ascii="Times New Roman" w:hAnsi="Times New Roman" w:cs="Times New Roman"/>
          <w:sz w:val="24"/>
          <w:szCs w:val="24"/>
        </w:rPr>
        <w:t xml:space="preserve"> </w:t>
      </w:r>
      <w:r w:rsidR="002F76C9">
        <w:rPr>
          <w:rFonts w:ascii="Times New Roman" w:hAnsi="Times New Roman" w:cs="Times New Roman"/>
          <w:sz w:val="24"/>
          <w:szCs w:val="24"/>
        </w:rPr>
        <w:t>e</w:t>
      </w:r>
      <w:r w:rsidR="0018667D">
        <w:rPr>
          <w:rFonts w:ascii="Times New Roman" w:hAnsi="Times New Roman" w:cs="Times New Roman"/>
          <w:sz w:val="24"/>
          <w:szCs w:val="24"/>
        </w:rPr>
        <w:t>, in particolare, ha previsto</w:t>
      </w:r>
      <w:r w:rsidR="002F76C9">
        <w:rPr>
          <w:rFonts w:ascii="Times New Roman" w:hAnsi="Times New Roman" w:cs="Times New Roman"/>
          <w:sz w:val="24"/>
          <w:szCs w:val="24"/>
        </w:rPr>
        <w:t xml:space="preserve"> </w:t>
      </w:r>
      <w:r w:rsidR="001B1E99">
        <w:rPr>
          <w:rFonts w:ascii="Times New Roman" w:hAnsi="Times New Roman" w:cs="Times New Roman"/>
          <w:sz w:val="24"/>
          <w:szCs w:val="24"/>
        </w:rPr>
        <w:t>che</w:t>
      </w:r>
      <w:r w:rsidR="001B1E99">
        <w:rPr>
          <w:rFonts w:ascii="Times New Roman" w:hAnsi="Times New Roman" w:cs="Times New Roman"/>
          <w:b/>
          <w:sz w:val="24"/>
          <w:szCs w:val="24"/>
        </w:rPr>
        <w:t xml:space="preserve">: </w:t>
      </w:r>
    </w:p>
    <w:p w14:paraId="5CABBADA" w14:textId="33C1CEB3" w:rsidR="00984E9D" w:rsidRPr="001B1E99" w:rsidRDefault="001B1E99" w:rsidP="00A241CF">
      <w:pPr>
        <w:spacing w:after="0" w:line="360" w:lineRule="auto"/>
        <w:ind w:left="1134" w:right="1558"/>
        <w:jc w:val="both"/>
        <w:rPr>
          <w:rFonts w:ascii="Times New Roman" w:hAnsi="Times New Roman" w:cs="Times New Roman"/>
          <w:bCs/>
          <w:i/>
          <w:iCs/>
          <w:sz w:val="24"/>
          <w:szCs w:val="24"/>
        </w:rPr>
      </w:pPr>
      <w:r w:rsidRPr="001B1E99">
        <w:rPr>
          <w:rFonts w:ascii="Times New Roman" w:hAnsi="Times New Roman" w:cs="Times New Roman"/>
          <w:b/>
          <w:i/>
          <w:iCs/>
          <w:sz w:val="24"/>
          <w:szCs w:val="24"/>
        </w:rPr>
        <w:t>&lt;&lt;1. La scadenza di pagamento del 31 luglio 2019</w:t>
      </w:r>
      <w:r w:rsidRPr="001B1E99">
        <w:rPr>
          <w:rFonts w:ascii="Times New Roman" w:hAnsi="Times New Roman" w:cs="Times New Roman"/>
          <w:bCs/>
          <w:i/>
          <w:iCs/>
          <w:sz w:val="24"/>
          <w:szCs w:val="24"/>
        </w:rPr>
        <w:t xml:space="preserve"> prevista dall’articolo 3, comma 2, lettere a) e b), 21, 22, 23 e 24, del decreto-legge 23 ottobre 2018, convertito, con modificazioni, dalla legge 17 dicembre 2018, n. 136, </w:t>
      </w:r>
      <w:r w:rsidRPr="001B1E99">
        <w:rPr>
          <w:rFonts w:ascii="Times New Roman" w:hAnsi="Times New Roman" w:cs="Times New Roman"/>
          <w:b/>
          <w:i/>
          <w:iCs/>
          <w:sz w:val="24"/>
          <w:szCs w:val="24"/>
        </w:rPr>
        <w:t>è fissata al 30 novembre 2019</w:t>
      </w:r>
      <w:r w:rsidRPr="001B1E99">
        <w:rPr>
          <w:rFonts w:ascii="Times New Roman" w:hAnsi="Times New Roman" w:cs="Times New Roman"/>
          <w:bCs/>
          <w:i/>
          <w:iCs/>
          <w:sz w:val="24"/>
          <w:szCs w:val="24"/>
        </w:rPr>
        <w:t>. &gt;&gt;</w:t>
      </w:r>
    </w:p>
    <w:p w14:paraId="729290A1" w14:textId="7BFE4824" w:rsidR="001B1E99" w:rsidRDefault="001B1E99" w:rsidP="001752B1">
      <w:pPr>
        <w:spacing w:after="0" w:line="360" w:lineRule="auto"/>
        <w:ind w:left="567" w:right="566"/>
        <w:jc w:val="both"/>
        <w:rPr>
          <w:rFonts w:ascii="Times New Roman" w:hAnsi="Times New Roman" w:cs="Times New Roman"/>
          <w:bCs/>
          <w:sz w:val="24"/>
          <w:szCs w:val="24"/>
        </w:rPr>
      </w:pPr>
      <w:r w:rsidRPr="002076FE">
        <w:rPr>
          <w:rFonts w:ascii="Times New Roman" w:hAnsi="Times New Roman" w:cs="Times New Roman"/>
          <w:b/>
          <w:sz w:val="24"/>
          <w:szCs w:val="24"/>
        </w:rPr>
        <w:t>La bozza di decreto legge fiscale</w:t>
      </w:r>
      <w:r w:rsidR="002076FE" w:rsidRPr="002076FE">
        <w:rPr>
          <w:rFonts w:ascii="Times New Roman" w:hAnsi="Times New Roman" w:cs="Times New Roman"/>
          <w:b/>
          <w:sz w:val="24"/>
          <w:szCs w:val="24"/>
        </w:rPr>
        <w:t xml:space="preserve"> rimette</w:t>
      </w:r>
      <w:r w:rsidR="002F76C9" w:rsidRPr="002076FE">
        <w:rPr>
          <w:rFonts w:ascii="Times New Roman" w:hAnsi="Times New Roman" w:cs="Times New Roman"/>
          <w:b/>
          <w:sz w:val="24"/>
          <w:szCs w:val="24"/>
        </w:rPr>
        <w:t>, quindi,</w:t>
      </w:r>
      <w:r w:rsidRPr="002076FE">
        <w:rPr>
          <w:rFonts w:ascii="Times New Roman" w:hAnsi="Times New Roman" w:cs="Times New Roman"/>
          <w:b/>
          <w:sz w:val="24"/>
          <w:szCs w:val="24"/>
        </w:rPr>
        <w:t xml:space="preserve"> in termini </w:t>
      </w:r>
      <w:r w:rsidR="002F76C9" w:rsidRPr="002076FE">
        <w:rPr>
          <w:rFonts w:ascii="Times New Roman" w:hAnsi="Times New Roman" w:cs="Times New Roman"/>
          <w:b/>
          <w:sz w:val="24"/>
          <w:szCs w:val="24"/>
        </w:rPr>
        <w:t xml:space="preserve">non solo </w:t>
      </w:r>
      <w:r w:rsidRPr="002076FE">
        <w:rPr>
          <w:rFonts w:ascii="Times New Roman" w:hAnsi="Times New Roman" w:cs="Times New Roman"/>
          <w:b/>
          <w:sz w:val="24"/>
          <w:szCs w:val="24"/>
        </w:rPr>
        <w:t>tutti i debitori che hanno presentato istanza di rottamazione-ter entro la fine dello scorso mese di aprile</w:t>
      </w:r>
      <w:r w:rsidR="002F76C9" w:rsidRPr="002076FE">
        <w:rPr>
          <w:rFonts w:ascii="Times New Roman" w:hAnsi="Times New Roman" w:cs="Times New Roman"/>
          <w:b/>
          <w:sz w:val="24"/>
          <w:szCs w:val="24"/>
        </w:rPr>
        <w:t xml:space="preserve">, ma anche </w:t>
      </w:r>
      <w:r w:rsidRPr="002076FE">
        <w:rPr>
          <w:rFonts w:ascii="Times New Roman" w:hAnsi="Times New Roman" w:cs="Times New Roman"/>
          <w:b/>
          <w:sz w:val="24"/>
          <w:szCs w:val="24"/>
        </w:rPr>
        <w:t>i soggetti che avevano presentato istanza di rottamazione-bis</w:t>
      </w:r>
      <w:r w:rsidR="002076FE">
        <w:rPr>
          <w:rFonts w:ascii="Times New Roman" w:hAnsi="Times New Roman" w:cs="Times New Roman"/>
          <w:b/>
          <w:sz w:val="24"/>
          <w:szCs w:val="24"/>
        </w:rPr>
        <w:t xml:space="preserve"> rimanendo poi inadempienti</w:t>
      </w:r>
      <w:r w:rsidR="006F357A">
        <w:rPr>
          <w:rFonts w:ascii="Times New Roman" w:hAnsi="Times New Roman" w:cs="Times New Roman"/>
          <w:b/>
          <w:sz w:val="24"/>
          <w:szCs w:val="24"/>
        </w:rPr>
        <w:t xml:space="preserve"> entro il 7 dicembre 2018</w:t>
      </w:r>
      <w:r w:rsidRPr="002076FE">
        <w:rPr>
          <w:rFonts w:ascii="Times New Roman" w:hAnsi="Times New Roman" w:cs="Times New Roman"/>
          <w:b/>
          <w:sz w:val="24"/>
          <w:szCs w:val="24"/>
        </w:rPr>
        <w:t>.</w:t>
      </w:r>
      <w:r w:rsidRPr="001B1E99">
        <w:rPr>
          <w:rFonts w:ascii="Times New Roman" w:hAnsi="Times New Roman" w:cs="Times New Roman"/>
          <w:bCs/>
          <w:sz w:val="24"/>
          <w:szCs w:val="24"/>
        </w:rPr>
        <w:t xml:space="preserve"> A tale riguardo, si ricorda che </w:t>
      </w:r>
      <w:r w:rsidRPr="001B1E99">
        <w:rPr>
          <w:rFonts w:ascii="Times New Roman" w:hAnsi="Times New Roman" w:cs="Times New Roman"/>
          <w:bCs/>
          <w:sz w:val="24"/>
          <w:szCs w:val="24"/>
        </w:rPr>
        <w:lastRenderedPageBreak/>
        <w:t xml:space="preserve">i debitori </w:t>
      </w:r>
      <w:r w:rsidR="0018667D">
        <w:rPr>
          <w:rFonts w:ascii="Times New Roman" w:hAnsi="Times New Roman" w:cs="Times New Roman"/>
          <w:bCs/>
          <w:sz w:val="24"/>
          <w:szCs w:val="24"/>
        </w:rPr>
        <w:t xml:space="preserve">della rottamazione-bis </w:t>
      </w:r>
      <w:r w:rsidRPr="001B1E99">
        <w:rPr>
          <w:rFonts w:ascii="Times New Roman" w:hAnsi="Times New Roman" w:cs="Times New Roman"/>
          <w:bCs/>
          <w:sz w:val="24"/>
          <w:szCs w:val="24"/>
        </w:rPr>
        <w:t xml:space="preserve">che hanno versato entro quest’ultima data le rate in origine in scadenza a luglio, settembre e ottobre 2018, rientravano </w:t>
      </w:r>
      <w:r w:rsidRPr="002F76C9">
        <w:rPr>
          <w:rFonts w:ascii="Times New Roman" w:hAnsi="Times New Roman" w:cs="Times New Roman"/>
          <w:bCs/>
          <w:i/>
          <w:iCs/>
          <w:sz w:val="24"/>
          <w:szCs w:val="24"/>
        </w:rPr>
        <w:t>ope legis</w:t>
      </w:r>
      <w:r w:rsidRPr="001B1E99">
        <w:rPr>
          <w:rFonts w:ascii="Times New Roman" w:hAnsi="Times New Roman" w:cs="Times New Roman"/>
          <w:bCs/>
          <w:sz w:val="24"/>
          <w:szCs w:val="24"/>
        </w:rPr>
        <w:t xml:space="preserve"> nella rottamazione-ter, con diritto a pagare le somme residue in 10 rate, con scadenza il 31 luglio e il 30 novembre di ciascun anno. I soggetti che, invece, non hanno rispettato la scadenza d</w:t>
      </w:r>
      <w:r w:rsidR="0018667D">
        <w:rPr>
          <w:rFonts w:ascii="Times New Roman" w:hAnsi="Times New Roman" w:cs="Times New Roman"/>
          <w:bCs/>
          <w:sz w:val="24"/>
          <w:szCs w:val="24"/>
        </w:rPr>
        <w:t>el 7</w:t>
      </w:r>
      <w:r w:rsidRPr="001B1E99">
        <w:rPr>
          <w:rFonts w:ascii="Times New Roman" w:hAnsi="Times New Roman" w:cs="Times New Roman"/>
          <w:bCs/>
          <w:sz w:val="24"/>
          <w:szCs w:val="24"/>
        </w:rPr>
        <w:t xml:space="preserve"> dicembre </w:t>
      </w:r>
      <w:r w:rsidR="0018667D">
        <w:rPr>
          <w:rFonts w:ascii="Times New Roman" w:hAnsi="Times New Roman" w:cs="Times New Roman"/>
          <w:bCs/>
          <w:sz w:val="24"/>
          <w:szCs w:val="24"/>
        </w:rPr>
        <w:t xml:space="preserve">2018 </w:t>
      </w:r>
      <w:r w:rsidRPr="001B1E99">
        <w:rPr>
          <w:rFonts w:ascii="Times New Roman" w:hAnsi="Times New Roman" w:cs="Times New Roman"/>
          <w:bCs/>
          <w:sz w:val="24"/>
          <w:szCs w:val="24"/>
        </w:rPr>
        <w:t>hanno comunque potuto presentare la domanda di rottamazione-ter, con pagamento della prima rata sempre alla fine dello scorso mese di luglio. Anche in questi casi, dunque, in caso di mancato pagamento della prima rata entro il termine originario, si ha la possibilità di rientrare nella procedura agevolata effettuando il versamento entro il prossimo mese di novembre. L’importo da pagare non cambia</w:t>
      </w:r>
      <w:r w:rsidR="00A241CF">
        <w:rPr>
          <w:rFonts w:ascii="Times New Roman" w:hAnsi="Times New Roman" w:cs="Times New Roman"/>
          <w:bCs/>
          <w:sz w:val="24"/>
          <w:szCs w:val="24"/>
        </w:rPr>
        <w:t xml:space="preserve"> e </w:t>
      </w:r>
      <w:r w:rsidRPr="001B1E99">
        <w:rPr>
          <w:rFonts w:ascii="Times New Roman" w:hAnsi="Times New Roman" w:cs="Times New Roman"/>
          <w:bCs/>
          <w:sz w:val="24"/>
          <w:szCs w:val="24"/>
        </w:rPr>
        <w:t>si può</w:t>
      </w:r>
      <w:r w:rsidR="00A241CF">
        <w:rPr>
          <w:rFonts w:ascii="Times New Roman" w:hAnsi="Times New Roman" w:cs="Times New Roman"/>
          <w:bCs/>
          <w:sz w:val="24"/>
          <w:szCs w:val="24"/>
        </w:rPr>
        <w:t>,</w:t>
      </w:r>
      <w:r w:rsidRPr="001B1E99">
        <w:rPr>
          <w:rFonts w:ascii="Times New Roman" w:hAnsi="Times New Roman" w:cs="Times New Roman"/>
          <w:bCs/>
          <w:sz w:val="24"/>
          <w:szCs w:val="24"/>
        </w:rPr>
        <w:t xml:space="preserve"> dunque</w:t>
      </w:r>
      <w:r w:rsidR="00A241CF">
        <w:rPr>
          <w:rFonts w:ascii="Times New Roman" w:hAnsi="Times New Roman" w:cs="Times New Roman"/>
          <w:bCs/>
          <w:sz w:val="24"/>
          <w:szCs w:val="24"/>
        </w:rPr>
        <w:t>,</w:t>
      </w:r>
      <w:r w:rsidRPr="001B1E99">
        <w:rPr>
          <w:rFonts w:ascii="Times New Roman" w:hAnsi="Times New Roman" w:cs="Times New Roman"/>
          <w:bCs/>
          <w:sz w:val="24"/>
          <w:szCs w:val="24"/>
        </w:rPr>
        <w:t xml:space="preserve"> utilizzare il bollettino iniziale</w:t>
      </w:r>
      <w:r w:rsidR="002F76C9">
        <w:rPr>
          <w:rFonts w:ascii="Times New Roman" w:hAnsi="Times New Roman" w:cs="Times New Roman"/>
          <w:bCs/>
          <w:sz w:val="24"/>
          <w:szCs w:val="24"/>
        </w:rPr>
        <w:t>.</w:t>
      </w:r>
    </w:p>
    <w:p w14:paraId="4852C88E" w14:textId="10A32FC1" w:rsidR="006F357A" w:rsidRPr="001B1E99" w:rsidRDefault="006F357A" w:rsidP="001752B1">
      <w:pPr>
        <w:spacing w:after="0" w:line="360" w:lineRule="auto"/>
        <w:ind w:left="567" w:right="566"/>
        <w:jc w:val="both"/>
        <w:rPr>
          <w:rFonts w:ascii="Times New Roman" w:hAnsi="Times New Roman" w:cs="Times New Roman"/>
          <w:bCs/>
          <w:sz w:val="24"/>
          <w:szCs w:val="24"/>
        </w:rPr>
      </w:pPr>
      <w:r>
        <w:rPr>
          <w:rFonts w:ascii="Times New Roman" w:hAnsi="Times New Roman" w:cs="Times New Roman"/>
          <w:b/>
          <w:sz w:val="24"/>
          <w:szCs w:val="24"/>
        </w:rPr>
        <w:t xml:space="preserve">Di contro, però, il differimento del termine di pagamento </w:t>
      </w:r>
      <w:r w:rsidR="00A241CF">
        <w:rPr>
          <w:rFonts w:ascii="Times New Roman" w:hAnsi="Times New Roman" w:cs="Times New Roman"/>
          <w:b/>
          <w:sz w:val="24"/>
          <w:szCs w:val="24"/>
        </w:rPr>
        <w:t xml:space="preserve">al 30 novembre </w:t>
      </w:r>
      <w:r>
        <w:rPr>
          <w:rFonts w:ascii="Times New Roman" w:hAnsi="Times New Roman" w:cs="Times New Roman"/>
          <w:b/>
          <w:sz w:val="24"/>
          <w:szCs w:val="24"/>
        </w:rPr>
        <w:t>(originariamente fissato al 31 luglio)</w:t>
      </w:r>
      <w:r w:rsidR="00A241CF">
        <w:rPr>
          <w:rFonts w:ascii="Times New Roman" w:hAnsi="Times New Roman" w:cs="Times New Roman"/>
          <w:b/>
          <w:sz w:val="24"/>
          <w:szCs w:val="24"/>
        </w:rPr>
        <w:t>,</w:t>
      </w:r>
      <w:r>
        <w:rPr>
          <w:rFonts w:ascii="Times New Roman" w:hAnsi="Times New Roman" w:cs="Times New Roman"/>
          <w:b/>
          <w:sz w:val="24"/>
          <w:szCs w:val="24"/>
        </w:rPr>
        <w:t xml:space="preserve"> di certo comporterà un aggravio dal punto di vista finanziario, alla luce del fatto che sempre per il 30 novembre è previsto il saldo della seconda rata.</w:t>
      </w:r>
      <w:r w:rsidR="0018667D">
        <w:rPr>
          <w:rFonts w:ascii="Times New Roman" w:hAnsi="Times New Roman" w:cs="Times New Roman"/>
          <w:bCs/>
          <w:sz w:val="24"/>
          <w:szCs w:val="24"/>
        </w:rPr>
        <w:t xml:space="preserve"> Precisamente</w:t>
      </w:r>
      <w:r>
        <w:rPr>
          <w:rFonts w:ascii="Times New Roman" w:hAnsi="Times New Roman" w:cs="Times New Roman"/>
          <w:bCs/>
          <w:sz w:val="24"/>
          <w:szCs w:val="24"/>
        </w:rPr>
        <w:t>, la prima e la seconda rata scadranno contemporaneamente il prossimo 30 novembre (salvo che il legislatore non disponga altrimenti) e per far fronte alla doppia rata i contribuenti dovranno certamente reperire importanti disponibilità liquide di denaro</w:t>
      </w:r>
      <w:r w:rsidR="00A241CF">
        <w:rPr>
          <w:rFonts w:ascii="Times New Roman" w:hAnsi="Times New Roman" w:cs="Times New Roman"/>
          <w:bCs/>
          <w:sz w:val="24"/>
          <w:szCs w:val="24"/>
        </w:rPr>
        <w:t xml:space="preserve"> (</w:t>
      </w:r>
      <w:r>
        <w:rPr>
          <w:rFonts w:ascii="Times New Roman" w:hAnsi="Times New Roman" w:cs="Times New Roman"/>
          <w:bCs/>
          <w:sz w:val="24"/>
          <w:szCs w:val="24"/>
        </w:rPr>
        <w:t>non potendo</w:t>
      </w:r>
      <w:r w:rsidR="00A241CF">
        <w:rPr>
          <w:rFonts w:ascii="Times New Roman" w:hAnsi="Times New Roman" w:cs="Times New Roman"/>
          <w:bCs/>
          <w:sz w:val="24"/>
          <w:szCs w:val="24"/>
        </w:rPr>
        <w:t>,</w:t>
      </w:r>
      <w:r>
        <w:rPr>
          <w:rFonts w:ascii="Times New Roman" w:hAnsi="Times New Roman" w:cs="Times New Roman"/>
          <w:bCs/>
          <w:sz w:val="24"/>
          <w:szCs w:val="24"/>
        </w:rPr>
        <w:t xml:space="preserve"> peraltro</w:t>
      </w:r>
      <w:r w:rsidR="00A241CF">
        <w:rPr>
          <w:rFonts w:ascii="Times New Roman" w:hAnsi="Times New Roman" w:cs="Times New Roman"/>
          <w:bCs/>
          <w:sz w:val="24"/>
          <w:szCs w:val="24"/>
        </w:rPr>
        <w:t>,</w:t>
      </w:r>
      <w:r>
        <w:rPr>
          <w:rFonts w:ascii="Times New Roman" w:hAnsi="Times New Roman" w:cs="Times New Roman"/>
          <w:bCs/>
          <w:sz w:val="24"/>
          <w:szCs w:val="24"/>
        </w:rPr>
        <w:t xml:space="preserve"> operare compensazioni se non che con crediti </w:t>
      </w:r>
      <w:r w:rsidR="004E609F">
        <w:rPr>
          <w:rFonts w:ascii="Times New Roman" w:hAnsi="Times New Roman" w:cs="Times New Roman"/>
          <w:bCs/>
          <w:sz w:val="24"/>
          <w:szCs w:val="24"/>
        </w:rPr>
        <w:t xml:space="preserve">certificati verso </w:t>
      </w:r>
      <w:r>
        <w:rPr>
          <w:rFonts w:ascii="Times New Roman" w:hAnsi="Times New Roman" w:cs="Times New Roman"/>
          <w:bCs/>
          <w:sz w:val="24"/>
          <w:szCs w:val="24"/>
        </w:rPr>
        <w:t>la p.a.</w:t>
      </w:r>
      <w:r w:rsidR="004E609F">
        <w:rPr>
          <w:rFonts w:ascii="Times New Roman" w:hAnsi="Times New Roman" w:cs="Times New Roman"/>
          <w:bCs/>
          <w:sz w:val="24"/>
          <w:szCs w:val="24"/>
        </w:rPr>
        <w:t xml:space="preserve"> per appalti e forniture</w:t>
      </w:r>
      <w:r w:rsidR="00A241CF">
        <w:rPr>
          <w:rFonts w:ascii="Times New Roman" w:hAnsi="Times New Roman" w:cs="Times New Roman"/>
          <w:bCs/>
          <w:sz w:val="24"/>
          <w:szCs w:val="24"/>
        </w:rPr>
        <w:t>).</w:t>
      </w:r>
    </w:p>
    <w:p w14:paraId="522F0400" w14:textId="4646A9BE" w:rsidR="001B1E99" w:rsidRPr="00094434" w:rsidRDefault="001B3342" w:rsidP="005A1244">
      <w:pPr>
        <w:spacing w:after="0" w:line="360" w:lineRule="auto"/>
        <w:ind w:left="567" w:right="566"/>
        <w:jc w:val="both"/>
        <w:rPr>
          <w:rFonts w:ascii="Times New Roman" w:hAnsi="Times New Roman" w:cs="Times New Roman"/>
          <w:b/>
          <w:bCs/>
          <w:sz w:val="24"/>
          <w:szCs w:val="24"/>
        </w:rPr>
      </w:pPr>
      <w:r>
        <w:rPr>
          <w:rFonts w:ascii="Times New Roman" w:hAnsi="Times New Roman" w:cs="Times New Roman"/>
          <w:sz w:val="24"/>
          <w:szCs w:val="24"/>
        </w:rPr>
        <w:t>Ciò posto</w:t>
      </w:r>
      <w:r w:rsidR="004D4B0F" w:rsidRPr="00263296">
        <w:rPr>
          <w:rFonts w:ascii="Times New Roman" w:hAnsi="Times New Roman" w:cs="Times New Roman"/>
          <w:sz w:val="24"/>
          <w:szCs w:val="24"/>
        </w:rPr>
        <w:t>,</w:t>
      </w:r>
      <w:r>
        <w:rPr>
          <w:rFonts w:ascii="Times New Roman" w:hAnsi="Times New Roman" w:cs="Times New Roman"/>
          <w:sz w:val="24"/>
          <w:szCs w:val="24"/>
        </w:rPr>
        <w:t xml:space="preserve"> occorre anche chiarire che si tratta</w:t>
      </w:r>
      <w:r w:rsidR="004D4B0F" w:rsidRPr="00263296">
        <w:rPr>
          <w:rFonts w:ascii="Times New Roman" w:hAnsi="Times New Roman" w:cs="Times New Roman"/>
          <w:sz w:val="24"/>
          <w:szCs w:val="24"/>
        </w:rPr>
        <w:t xml:space="preserve"> di una riapertura dei termini su cui </w:t>
      </w:r>
      <w:r w:rsidR="001752B1">
        <w:rPr>
          <w:rFonts w:ascii="Times New Roman" w:hAnsi="Times New Roman" w:cs="Times New Roman"/>
          <w:sz w:val="24"/>
          <w:szCs w:val="24"/>
        </w:rPr>
        <w:t>è stato</w:t>
      </w:r>
      <w:r w:rsidR="004D4B0F" w:rsidRPr="00263296">
        <w:rPr>
          <w:rFonts w:ascii="Times New Roman" w:hAnsi="Times New Roman" w:cs="Times New Roman"/>
          <w:sz w:val="24"/>
          <w:szCs w:val="24"/>
        </w:rPr>
        <w:t xml:space="preserve"> fissato un </w:t>
      </w:r>
      <w:r w:rsidR="003B6182">
        <w:rPr>
          <w:rFonts w:ascii="Times New Roman" w:hAnsi="Times New Roman" w:cs="Times New Roman"/>
          <w:sz w:val="24"/>
          <w:szCs w:val="24"/>
        </w:rPr>
        <w:t xml:space="preserve">vero e proprio </w:t>
      </w:r>
      <w:r w:rsidR="004D4B0F" w:rsidRPr="00263296">
        <w:rPr>
          <w:rFonts w:ascii="Times New Roman" w:hAnsi="Times New Roman" w:cs="Times New Roman"/>
          <w:sz w:val="24"/>
          <w:szCs w:val="24"/>
        </w:rPr>
        <w:t xml:space="preserve">perimetro. </w:t>
      </w:r>
      <w:r w:rsidR="004D4B0F" w:rsidRPr="00094434">
        <w:rPr>
          <w:rFonts w:ascii="Times New Roman" w:hAnsi="Times New Roman" w:cs="Times New Roman"/>
          <w:b/>
          <w:bCs/>
          <w:sz w:val="24"/>
          <w:szCs w:val="24"/>
        </w:rPr>
        <w:t xml:space="preserve">In primo luogo, non </w:t>
      </w:r>
      <w:r w:rsidR="0032121D">
        <w:rPr>
          <w:rFonts w:ascii="Times New Roman" w:hAnsi="Times New Roman" w:cs="Times New Roman"/>
          <w:b/>
          <w:bCs/>
          <w:sz w:val="24"/>
          <w:szCs w:val="24"/>
        </w:rPr>
        <w:t xml:space="preserve">è stata prevista </w:t>
      </w:r>
      <w:r w:rsidR="004D4B0F" w:rsidRPr="00094434">
        <w:rPr>
          <w:rFonts w:ascii="Times New Roman" w:hAnsi="Times New Roman" w:cs="Times New Roman"/>
          <w:b/>
          <w:bCs/>
          <w:sz w:val="24"/>
          <w:szCs w:val="24"/>
        </w:rPr>
        <w:t xml:space="preserve">nessuna estensione ai carichi affidati alla riscossione nel 2018 </w:t>
      </w:r>
      <w:r w:rsidR="003B6182" w:rsidRPr="00094434">
        <w:rPr>
          <w:rFonts w:ascii="Times New Roman" w:hAnsi="Times New Roman" w:cs="Times New Roman"/>
          <w:b/>
          <w:bCs/>
          <w:sz w:val="24"/>
          <w:szCs w:val="24"/>
        </w:rPr>
        <w:t xml:space="preserve">- </w:t>
      </w:r>
      <w:r w:rsidR="004D4B0F" w:rsidRPr="00094434">
        <w:rPr>
          <w:rFonts w:ascii="Times New Roman" w:hAnsi="Times New Roman" w:cs="Times New Roman"/>
          <w:b/>
          <w:bCs/>
          <w:sz w:val="24"/>
          <w:szCs w:val="24"/>
        </w:rPr>
        <w:t xml:space="preserve">detto in altri termini, saranno rottamabili </w:t>
      </w:r>
      <w:r w:rsidR="001752B1" w:rsidRPr="00094434">
        <w:rPr>
          <w:rFonts w:ascii="Times New Roman" w:hAnsi="Times New Roman" w:cs="Times New Roman"/>
          <w:b/>
          <w:bCs/>
          <w:sz w:val="24"/>
          <w:szCs w:val="24"/>
        </w:rPr>
        <w:t xml:space="preserve">solo </w:t>
      </w:r>
      <w:r w:rsidR="004D4B0F" w:rsidRPr="00094434">
        <w:rPr>
          <w:rFonts w:ascii="Times New Roman" w:hAnsi="Times New Roman" w:cs="Times New Roman"/>
          <w:b/>
          <w:bCs/>
          <w:sz w:val="24"/>
          <w:szCs w:val="24"/>
        </w:rPr>
        <w:t>le cartelle consegnate dagli enti impositori tra il 2000 e il 2017</w:t>
      </w:r>
      <w:r w:rsidR="003B6182" w:rsidRPr="00094434">
        <w:rPr>
          <w:rFonts w:ascii="Times New Roman" w:hAnsi="Times New Roman" w:cs="Times New Roman"/>
          <w:b/>
          <w:bCs/>
          <w:sz w:val="24"/>
          <w:szCs w:val="24"/>
        </w:rPr>
        <w:t xml:space="preserve"> -</w:t>
      </w:r>
      <w:r w:rsidR="004D4B0F" w:rsidRPr="00094434">
        <w:rPr>
          <w:rFonts w:ascii="Times New Roman" w:hAnsi="Times New Roman" w:cs="Times New Roman"/>
          <w:b/>
          <w:bCs/>
          <w:sz w:val="24"/>
          <w:szCs w:val="24"/>
        </w:rPr>
        <w:t xml:space="preserve"> e, inoltre, il numero delle rate </w:t>
      </w:r>
      <w:r w:rsidR="0032121D">
        <w:rPr>
          <w:rFonts w:ascii="Times New Roman" w:hAnsi="Times New Roman" w:cs="Times New Roman"/>
          <w:b/>
          <w:bCs/>
          <w:sz w:val="24"/>
          <w:szCs w:val="24"/>
        </w:rPr>
        <w:t xml:space="preserve">per il pagamento della rottamazione ter </w:t>
      </w:r>
      <w:r w:rsidR="001752B1" w:rsidRPr="00094434">
        <w:rPr>
          <w:rFonts w:ascii="Times New Roman" w:hAnsi="Times New Roman" w:cs="Times New Roman"/>
          <w:b/>
          <w:bCs/>
          <w:sz w:val="24"/>
          <w:szCs w:val="24"/>
        </w:rPr>
        <w:t xml:space="preserve">non </w:t>
      </w:r>
      <w:r>
        <w:rPr>
          <w:rFonts w:ascii="Times New Roman" w:hAnsi="Times New Roman" w:cs="Times New Roman"/>
          <w:b/>
          <w:bCs/>
          <w:sz w:val="24"/>
          <w:szCs w:val="24"/>
        </w:rPr>
        <w:t xml:space="preserve">sarà </w:t>
      </w:r>
      <w:r w:rsidR="00094434">
        <w:rPr>
          <w:rFonts w:ascii="Times New Roman" w:hAnsi="Times New Roman" w:cs="Times New Roman"/>
          <w:b/>
          <w:bCs/>
          <w:sz w:val="24"/>
          <w:szCs w:val="24"/>
        </w:rPr>
        <w:t xml:space="preserve">più </w:t>
      </w:r>
      <w:r w:rsidR="004D4B0F" w:rsidRPr="00094434">
        <w:rPr>
          <w:rFonts w:ascii="Times New Roman" w:hAnsi="Times New Roman" w:cs="Times New Roman"/>
          <w:b/>
          <w:bCs/>
          <w:sz w:val="24"/>
          <w:szCs w:val="24"/>
        </w:rPr>
        <w:t xml:space="preserve">di 18 e spalmato su cinque anni </w:t>
      </w:r>
      <w:r w:rsidR="001752B1" w:rsidRPr="00094434">
        <w:rPr>
          <w:rFonts w:ascii="Times New Roman" w:hAnsi="Times New Roman" w:cs="Times New Roman"/>
          <w:b/>
          <w:bCs/>
          <w:sz w:val="24"/>
          <w:szCs w:val="24"/>
        </w:rPr>
        <w:t>(</w:t>
      </w:r>
      <w:r w:rsidR="004D4B0F" w:rsidRPr="00094434">
        <w:rPr>
          <w:rFonts w:ascii="Times New Roman" w:hAnsi="Times New Roman" w:cs="Times New Roman"/>
          <w:b/>
          <w:bCs/>
          <w:sz w:val="24"/>
          <w:szCs w:val="24"/>
        </w:rPr>
        <w:t>come per chi ha aderito entro il 30 aprile</w:t>
      </w:r>
      <w:r>
        <w:rPr>
          <w:rFonts w:ascii="Times New Roman" w:hAnsi="Times New Roman" w:cs="Times New Roman"/>
          <w:b/>
          <w:bCs/>
          <w:sz w:val="24"/>
          <w:szCs w:val="24"/>
        </w:rPr>
        <w:t xml:space="preserve"> e ottemperato al pagamento entro il 31 luglio</w:t>
      </w:r>
      <w:r w:rsidR="001752B1" w:rsidRPr="00094434">
        <w:rPr>
          <w:rFonts w:ascii="Times New Roman" w:hAnsi="Times New Roman" w:cs="Times New Roman"/>
          <w:b/>
          <w:bCs/>
          <w:sz w:val="24"/>
          <w:szCs w:val="24"/>
        </w:rPr>
        <w:t>)</w:t>
      </w:r>
      <w:r w:rsidR="004D4B0F" w:rsidRPr="00094434">
        <w:rPr>
          <w:rFonts w:ascii="Times New Roman" w:hAnsi="Times New Roman" w:cs="Times New Roman"/>
          <w:b/>
          <w:bCs/>
          <w:sz w:val="24"/>
          <w:szCs w:val="24"/>
        </w:rPr>
        <w:t xml:space="preserve">, </w:t>
      </w:r>
      <w:r w:rsidR="003B6182" w:rsidRPr="00094434">
        <w:rPr>
          <w:rFonts w:ascii="Times New Roman" w:hAnsi="Times New Roman" w:cs="Times New Roman"/>
          <w:b/>
          <w:bCs/>
          <w:sz w:val="24"/>
          <w:szCs w:val="24"/>
        </w:rPr>
        <w:t xml:space="preserve">bensì di 17 rate con un </w:t>
      </w:r>
      <w:r w:rsidR="004D4B0F" w:rsidRPr="00094434">
        <w:rPr>
          <w:rFonts w:ascii="Times New Roman" w:hAnsi="Times New Roman" w:cs="Times New Roman"/>
          <w:b/>
          <w:bCs/>
          <w:sz w:val="24"/>
          <w:szCs w:val="24"/>
        </w:rPr>
        <w:t xml:space="preserve">piano di ammortamento del debito </w:t>
      </w:r>
      <w:r w:rsidR="001752B1" w:rsidRPr="00094434">
        <w:rPr>
          <w:rFonts w:ascii="Times New Roman" w:hAnsi="Times New Roman" w:cs="Times New Roman"/>
          <w:b/>
          <w:bCs/>
          <w:sz w:val="24"/>
          <w:szCs w:val="24"/>
        </w:rPr>
        <w:t xml:space="preserve">ridotto a </w:t>
      </w:r>
      <w:r w:rsidR="004D4B0F" w:rsidRPr="00094434">
        <w:rPr>
          <w:rFonts w:ascii="Times New Roman" w:hAnsi="Times New Roman" w:cs="Times New Roman"/>
          <w:b/>
          <w:bCs/>
          <w:sz w:val="24"/>
          <w:szCs w:val="24"/>
        </w:rPr>
        <w:t>circa quattro anni.</w:t>
      </w:r>
    </w:p>
    <w:p w14:paraId="242E8B88" w14:textId="77777777" w:rsidR="00DB0505" w:rsidRDefault="00DB0505" w:rsidP="00DB0505">
      <w:pPr>
        <w:pStyle w:val="Paragrafoelenco"/>
        <w:spacing w:after="0" w:line="360" w:lineRule="auto"/>
        <w:ind w:left="927" w:right="566"/>
        <w:jc w:val="both"/>
        <w:rPr>
          <w:rFonts w:ascii="Times New Roman" w:hAnsi="Times New Roman" w:cs="Times New Roman"/>
          <w:sz w:val="24"/>
          <w:szCs w:val="24"/>
        </w:rPr>
      </w:pPr>
    </w:p>
    <w:p w14:paraId="28ABB740" w14:textId="77777777" w:rsidR="00E17516" w:rsidRPr="00DB0505" w:rsidRDefault="00DB0505" w:rsidP="00DB0505">
      <w:pPr>
        <w:pStyle w:val="Paragrafoelenco"/>
        <w:numPr>
          <w:ilvl w:val="0"/>
          <w:numId w:val="15"/>
        </w:numPr>
        <w:spacing w:after="0" w:line="360" w:lineRule="auto"/>
        <w:ind w:right="566"/>
        <w:jc w:val="both"/>
        <w:rPr>
          <w:rFonts w:ascii="Times New Roman" w:hAnsi="Times New Roman" w:cs="Times New Roman"/>
          <w:b/>
          <w:bCs/>
          <w:i/>
          <w:iCs/>
          <w:sz w:val="24"/>
          <w:szCs w:val="24"/>
        </w:rPr>
      </w:pPr>
      <w:r w:rsidRPr="00DB0505">
        <w:rPr>
          <w:rFonts w:ascii="Times New Roman" w:hAnsi="Times New Roman" w:cs="Times New Roman"/>
          <w:b/>
          <w:bCs/>
          <w:i/>
          <w:iCs/>
          <w:sz w:val="24"/>
          <w:szCs w:val="24"/>
        </w:rPr>
        <w:t>Conclusioni</w:t>
      </w:r>
    </w:p>
    <w:p w14:paraId="1D3D1198" w14:textId="78659877" w:rsidR="004E609F" w:rsidRDefault="00991C9E" w:rsidP="00000393">
      <w:pPr>
        <w:spacing w:after="0" w:line="360" w:lineRule="auto"/>
        <w:ind w:left="567" w:right="566"/>
        <w:jc w:val="both"/>
        <w:rPr>
          <w:rFonts w:ascii="Times New Roman" w:eastAsia="Times New Roman" w:hAnsi="Times New Roman" w:cs="Times New Roman"/>
          <w:sz w:val="24"/>
          <w:szCs w:val="24"/>
          <w:lang w:eastAsia="it-IT"/>
        </w:rPr>
      </w:pPr>
      <w:r w:rsidRPr="00A97DE8">
        <w:rPr>
          <w:rFonts w:ascii="Times New Roman" w:hAnsi="Times New Roman" w:cs="Times New Roman"/>
          <w:sz w:val="24"/>
          <w:szCs w:val="24"/>
        </w:rPr>
        <w:t>In definitiva, a seguito del grande successo ottenuto con le precedenti edizioni della rottamazione dei ruoli, si</w:t>
      </w:r>
      <w:r w:rsidR="001752B1" w:rsidRPr="00A97DE8">
        <w:rPr>
          <w:rFonts w:ascii="Times New Roman" w:hAnsi="Times New Roman" w:cs="Times New Roman"/>
          <w:sz w:val="24"/>
          <w:szCs w:val="24"/>
        </w:rPr>
        <w:t xml:space="preserve"> è ora chiamati ad</w:t>
      </w:r>
      <w:r w:rsidRPr="00A97DE8">
        <w:rPr>
          <w:rFonts w:ascii="Times New Roman" w:hAnsi="Times New Roman" w:cs="Times New Roman"/>
          <w:sz w:val="24"/>
          <w:szCs w:val="24"/>
        </w:rPr>
        <w:t xml:space="preserve"> assister</w:t>
      </w:r>
      <w:r w:rsidR="001752B1" w:rsidRPr="00A97DE8">
        <w:rPr>
          <w:rFonts w:ascii="Times New Roman" w:hAnsi="Times New Roman" w:cs="Times New Roman"/>
          <w:sz w:val="24"/>
          <w:szCs w:val="24"/>
        </w:rPr>
        <w:t>e</w:t>
      </w:r>
      <w:r w:rsidRPr="00A97DE8">
        <w:rPr>
          <w:rFonts w:ascii="Times New Roman" w:hAnsi="Times New Roman" w:cs="Times New Roman"/>
          <w:sz w:val="24"/>
          <w:szCs w:val="24"/>
        </w:rPr>
        <w:t xml:space="preserve"> a una </w:t>
      </w:r>
      <w:r w:rsidRPr="00A97DE8">
        <w:rPr>
          <w:rFonts w:ascii="Times New Roman" w:hAnsi="Times New Roman" w:cs="Times New Roman"/>
          <w:b/>
          <w:sz w:val="24"/>
          <w:szCs w:val="24"/>
        </w:rPr>
        <w:t>nuova</w:t>
      </w:r>
      <w:r w:rsidR="002E3902">
        <w:rPr>
          <w:rFonts w:ascii="Times New Roman" w:hAnsi="Times New Roman" w:cs="Times New Roman"/>
          <w:b/>
          <w:sz w:val="24"/>
          <w:szCs w:val="24"/>
        </w:rPr>
        <w:t xml:space="preserve"> e ulteriore</w:t>
      </w:r>
      <w:r w:rsidRPr="00A97DE8">
        <w:rPr>
          <w:rFonts w:ascii="Times New Roman" w:hAnsi="Times New Roman" w:cs="Times New Roman"/>
          <w:b/>
          <w:sz w:val="24"/>
          <w:szCs w:val="24"/>
        </w:rPr>
        <w:t xml:space="preserve"> riapertura dei termini</w:t>
      </w:r>
      <w:r w:rsidR="002E3902">
        <w:rPr>
          <w:rFonts w:ascii="Times New Roman" w:hAnsi="Times New Roman" w:cs="Times New Roman"/>
          <w:sz w:val="24"/>
          <w:szCs w:val="24"/>
        </w:rPr>
        <w:t xml:space="preserve"> (la rottamazione-ter aveva, infatti, già subito una riapertura dei termini ex art. 16-bis della</w:t>
      </w:r>
      <w:r w:rsidR="002E3902" w:rsidRPr="002E3902">
        <w:rPr>
          <w:rFonts w:ascii="Times New Roman" w:hAnsi="Times New Roman" w:cs="Times New Roman"/>
          <w:iCs/>
          <w:sz w:val="24"/>
          <w:szCs w:val="24"/>
        </w:rPr>
        <w:t xml:space="preserve"> Legge </w:t>
      </w:r>
      <w:r w:rsidR="002E3902" w:rsidRPr="002E3902">
        <w:rPr>
          <w:rFonts w:ascii="Times New Roman" w:hAnsi="Times New Roman" w:cs="Times New Roman"/>
          <w:sz w:val="24"/>
          <w:szCs w:val="24"/>
        </w:rPr>
        <w:t>n. 58/2019,</w:t>
      </w:r>
      <w:r w:rsidR="002E3902" w:rsidRPr="002E3902">
        <w:rPr>
          <w:rFonts w:ascii="Times New Roman" w:hAnsi="Times New Roman" w:cs="Times New Roman"/>
          <w:iCs/>
          <w:sz w:val="24"/>
          <w:szCs w:val="24"/>
        </w:rPr>
        <w:t xml:space="preserve"> di conversione del </w:t>
      </w:r>
      <w:r w:rsidR="00E36905" w:rsidRPr="002E3902">
        <w:rPr>
          <w:rFonts w:ascii="Times New Roman" w:hAnsi="Times New Roman" w:cs="Times New Roman"/>
          <w:iCs/>
          <w:sz w:val="24"/>
          <w:szCs w:val="24"/>
        </w:rPr>
        <w:t>D.L. n.34/2019</w:t>
      </w:r>
      <w:r w:rsidR="00E36905">
        <w:rPr>
          <w:rFonts w:ascii="Times New Roman" w:hAnsi="Times New Roman" w:cs="Times New Roman"/>
          <w:iCs/>
          <w:sz w:val="24"/>
          <w:szCs w:val="24"/>
        </w:rPr>
        <w:t xml:space="preserve"> - </w:t>
      </w:r>
      <w:r w:rsidR="00E36905" w:rsidRPr="002E3902">
        <w:rPr>
          <w:rFonts w:ascii="Times New Roman" w:hAnsi="Times New Roman" w:cs="Times New Roman"/>
          <w:iCs/>
          <w:sz w:val="24"/>
          <w:szCs w:val="24"/>
        </w:rPr>
        <w:t>c.d. “Decreto Crescita</w:t>
      </w:r>
      <w:r w:rsidR="00E36905">
        <w:rPr>
          <w:rFonts w:ascii="Times New Roman" w:hAnsi="Times New Roman" w:cs="Times New Roman"/>
          <w:iCs/>
          <w:sz w:val="24"/>
          <w:szCs w:val="24"/>
        </w:rPr>
        <w:t>).</w:t>
      </w:r>
    </w:p>
    <w:p w14:paraId="74DCC6E0" w14:textId="115C6A2E" w:rsidR="004E609F" w:rsidRPr="004E609F" w:rsidRDefault="004E609F" w:rsidP="00853B5A">
      <w:pPr>
        <w:spacing w:after="0" w:line="360" w:lineRule="auto"/>
        <w:ind w:left="567" w:right="566"/>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sz w:val="24"/>
          <w:szCs w:val="24"/>
          <w:lang w:eastAsia="it-IT"/>
        </w:rPr>
        <w:lastRenderedPageBreak/>
        <w:t>La norma, così come indicato nella relazione illustrativa</w:t>
      </w:r>
      <w:r w:rsidR="00853B5A">
        <w:rPr>
          <w:rFonts w:ascii="Times New Roman" w:eastAsia="Times New Roman" w:hAnsi="Times New Roman" w:cs="Times New Roman"/>
          <w:sz w:val="24"/>
          <w:szCs w:val="24"/>
          <w:lang w:eastAsia="it-IT"/>
        </w:rPr>
        <w:t xml:space="preserve"> della bozza del decreto fiscale</w:t>
      </w:r>
      <w:r>
        <w:rPr>
          <w:rFonts w:ascii="Times New Roman" w:eastAsia="Times New Roman" w:hAnsi="Times New Roman" w:cs="Times New Roman"/>
          <w:sz w:val="24"/>
          <w:szCs w:val="24"/>
          <w:lang w:eastAsia="it-IT"/>
        </w:rPr>
        <w:t xml:space="preserve">, avrebbe come finalità </w:t>
      </w:r>
      <w:r w:rsidR="00E36905">
        <w:rPr>
          <w:rFonts w:ascii="Times New Roman" w:eastAsia="Times New Roman" w:hAnsi="Times New Roman" w:cs="Times New Roman"/>
          <w:sz w:val="24"/>
          <w:szCs w:val="24"/>
          <w:lang w:eastAsia="it-IT"/>
        </w:rPr>
        <w:t xml:space="preserve">quella </w:t>
      </w:r>
      <w:r>
        <w:rPr>
          <w:rFonts w:ascii="Times New Roman" w:eastAsia="Times New Roman" w:hAnsi="Times New Roman" w:cs="Times New Roman"/>
          <w:sz w:val="24"/>
          <w:szCs w:val="24"/>
          <w:lang w:eastAsia="it-IT"/>
        </w:rPr>
        <w:t xml:space="preserve">di </w:t>
      </w:r>
      <w:r w:rsidRPr="004E609F">
        <w:rPr>
          <w:rFonts w:ascii="Times New Roman" w:eastAsia="Times New Roman" w:hAnsi="Times New Roman" w:cs="Times New Roman"/>
          <w:i/>
          <w:iCs/>
          <w:sz w:val="24"/>
          <w:szCs w:val="24"/>
          <w:lang w:eastAsia="it-IT"/>
        </w:rPr>
        <w:t>&lt;&lt; …</w:t>
      </w:r>
      <w:r w:rsidRPr="004E609F">
        <w:rPr>
          <w:rFonts w:ascii="Times New Roman" w:hAnsi="Times New Roman" w:cs="Times New Roman"/>
          <w:i/>
          <w:iCs/>
          <w:sz w:val="24"/>
          <w:szCs w:val="24"/>
        </w:rPr>
        <w:t xml:space="preserve"> </w:t>
      </w:r>
      <w:r w:rsidRPr="004E609F">
        <w:rPr>
          <w:rFonts w:ascii="Times New Roman" w:eastAsia="Times New Roman" w:hAnsi="Times New Roman" w:cs="Times New Roman"/>
          <w:i/>
          <w:iCs/>
          <w:sz w:val="24"/>
          <w:szCs w:val="24"/>
          <w:lang w:eastAsia="it-IT"/>
        </w:rPr>
        <w:t xml:space="preserve">evitare disparità di trattamento tra i debitori che hanno tempestivamente presentato la propria dichiarazione di adesione alla c.d. “rottamazione-ter” entro il 30 aprile 2019 – </w:t>
      </w:r>
      <w:bookmarkStart w:id="1" w:name="_Hlk21007368"/>
      <w:r w:rsidRPr="004E609F">
        <w:rPr>
          <w:rFonts w:ascii="Times New Roman" w:eastAsia="Times New Roman" w:hAnsi="Times New Roman" w:cs="Times New Roman"/>
          <w:i/>
          <w:iCs/>
          <w:sz w:val="24"/>
          <w:szCs w:val="24"/>
          <w:lang w:eastAsia="it-IT"/>
        </w:rPr>
        <w:t>ovvero che provengono dalla c.d. “rottamazione-bis” o siano stati colpiti dagli eventi sismici verificatisi nel 2016 nell’Italia Centrale</w:t>
      </w:r>
      <w:bookmarkEnd w:id="1"/>
      <w:r w:rsidRPr="004E609F">
        <w:rPr>
          <w:rFonts w:ascii="Times New Roman" w:eastAsia="Times New Roman" w:hAnsi="Times New Roman" w:cs="Times New Roman"/>
          <w:i/>
          <w:iCs/>
          <w:sz w:val="24"/>
          <w:szCs w:val="24"/>
          <w:lang w:eastAsia="it-IT"/>
        </w:rPr>
        <w:t xml:space="preserve"> – e quelli che hanno fruito della riapertura del termine di relativa presentazione alla data al 31 luglio 2019. Infatti, per i primi il pagamento delle somme dovute avrebbe dovuto essere effettuato in unica soluzione, entro il 31 luglio 2019, ovvero nel numero massimo di rate consecutive prescelte, la prima delle quali scadente alla stessa data. I secondi, viceversa, pur avendo aderito successivamente alla definizione agevolata, pagheranno la prima o unica rata entro il 30 novembre 2019</w:t>
      </w:r>
      <w:r w:rsidR="00853B5A">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&gt;&gt;</w:t>
      </w:r>
      <w:r w:rsidRPr="004E609F">
        <w:rPr>
          <w:rFonts w:ascii="Times New Roman" w:eastAsia="Times New Roman" w:hAnsi="Times New Roman" w:cs="Times New Roman"/>
          <w:i/>
          <w:iCs/>
          <w:sz w:val="24"/>
          <w:szCs w:val="24"/>
          <w:lang w:eastAsia="it-IT"/>
        </w:rPr>
        <w:t>.</w:t>
      </w:r>
    </w:p>
    <w:p w14:paraId="5EA1D9BB" w14:textId="6977F4B3" w:rsidR="00000393" w:rsidRPr="00000393" w:rsidRDefault="00E36905" w:rsidP="00000393">
      <w:pPr>
        <w:spacing w:after="0" w:line="360" w:lineRule="auto"/>
        <w:ind w:left="567" w:right="566"/>
        <w:jc w:val="both"/>
        <w:rPr>
          <w:rFonts w:ascii="Times New Roman" w:hAnsi="Times New Roman" w:cs="Times New Roman"/>
          <w:sz w:val="24"/>
          <w:szCs w:val="24"/>
        </w:rPr>
      </w:pPr>
      <w:r>
        <w:rPr>
          <w:rFonts w:ascii="Times New Roman" w:eastAsia="Times New Roman" w:hAnsi="Times New Roman" w:cs="Times New Roman"/>
          <w:b/>
          <w:bCs/>
          <w:sz w:val="24"/>
          <w:szCs w:val="24"/>
          <w:lang w:eastAsia="it-IT"/>
        </w:rPr>
        <w:t>In conclusione, c</w:t>
      </w:r>
      <w:r w:rsidR="00D37D94" w:rsidRPr="00D37D94">
        <w:rPr>
          <w:rFonts w:ascii="Times New Roman" w:eastAsia="Times New Roman" w:hAnsi="Times New Roman" w:cs="Times New Roman"/>
          <w:b/>
          <w:bCs/>
          <w:sz w:val="24"/>
          <w:szCs w:val="24"/>
          <w:lang w:eastAsia="it-IT"/>
        </w:rPr>
        <w:t>’è tempo</w:t>
      </w:r>
      <w:r>
        <w:rPr>
          <w:rFonts w:ascii="Times New Roman" w:eastAsia="Times New Roman" w:hAnsi="Times New Roman" w:cs="Times New Roman"/>
          <w:b/>
          <w:bCs/>
          <w:sz w:val="24"/>
          <w:szCs w:val="24"/>
          <w:lang w:eastAsia="it-IT"/>
        </w:rPr>
        <w:t xml:space="preserve"> </w:t>
      </w:r>
      <w:r w:rsidR="00D37D94" w:rsidRPr="00D37D94">
        <w:rPr>
          <w:rFonts w:ascii="Times New Roman" w:eastAsia="Times New Roman" w:hAnsi="Times New Roman" w:cs="Times New Roman"/>
          <w:b/>
          <w:bCs/>
          <w:sz w:val="24"/>
          <w:szCs w:val="24"/>
          <w:lang w:eastAsia="it-IT"/>
        </w:rPr>
        <w:t xml:space="preserve">sino al </w:t>
      </w:r>
      <w:r w:rsidR="00EE3F44">
        <w:rPr>
          <w:rFonts w:ascii="Times New Roman" w:eastAsia="Times New Roman" w:hAnsi="Times New Roman" w:cs="Times New Roman"/>
          <w:b/>
          <w:bCs/>
          <w:sz w:val="24"/>
          <w:szCs w:val="24"/>
          <w:lang w:eastAsia="it-IT"/>
        </w:rPr>
        <w:t xml:space="preserve"> 30 novembre </w:t>
      </w:r>
      <w:r w:rsidR="00D37D94" w:rsidRPr="00D37D94">
        <w:rPr>
          <w:rFonts w:ascii="Times New Roman" w:eastAsia="Times New Roman" w:hAnsi="Times New Roman" w:cs="Times New Roman"/>
          <w:b/>
          <w:bCs/>
          <w:sz w:val="24"/>
          <w:szCs w:val="24"/>
          <w:lang w:eastAsia="it-IT"/>
        </w:rPr>
        <w:t>2019</w:t>
      </w:r>
      <w:r w:rsidR="00D37D94">
        <w:rPr>
          <w:rFonts w:ascii="Times New Roman" w:eastAsia="Times New Roman" w:hAnsi="Times New Roman" w:cs="Times New Roman"/>
          <w:sz w:val="24"/>
          <w:szCs w:val="24"/>
          <w:lang w:eastAsia="it-IT"/>
        </w:rPr>
        <w:t xml:space="preserve"> e </w:t>
      </w:r>
      <w:r w:rsidR="00D37D94">
        <w:rPr>
          <w:rFonts w:ascii="Times New Roman" w:hAnsi="Times New Roman" w:cs="Times New Roman"/>
          <w:sz w:val="24"/>
          <w:szCs w:val="24"/>
        </w:rPr>
        <w:t>s</w:t>
      </w:r>
      <w:r w:rsidR="00000393" w:rsidRPr="00000393">
        <w:rPr>
          <w:rFonts w:ascii="Times New Roman" w:hAnsi="Times New Roman" w:cs="Times New Roman"/>
          <w:sz w:val="24"/>
          <w:szCs w:val="24"/>
        </w:rPr>
        <w:t xml:space="preserve">i tratta, di certo, di un’occasione che dovrà essere attentamente valutata da ogni singolo contribuente coinvolto, che dovrà essere consapevole del fatto che lo “sconto” previsto dalla </w:t>
      </w:r>
      <w:r w:rsidR="00000393">
        <w:rPr>
          <w:rFonts w:ascii="Times New Roman" w:hAnsi="Times New Roman" w:cs="Times New Roman"/>
          <w:sz w:val="24"/>
          <w:szCs w:val="24"/>
        </w:rPr>
        <w:t xml:space="preserve">riapertura dei termini della </w:t>
      </w:r>
      <w:r w:rsidR="00000393" w:rsidRPr="00000393">
        <w:rPr>
          <w:rFonts w:ascii="Times New Roman" w:hAnsi="Times New Roman" w:cs="Times New Roman"/>
          <w:sz w:val="24"/>
          <w:szCs w:val="24"/>
        </w:rPr>
        <w:t>rottamazione</w:t>
      </w:r>
      <w:r w:rsidR="00927925">
        <w:rPr>
          <w:rFonts w:ascii="Times New Roman" w:hAnsi="Times New Roman" w:cs="Times New Roman"/>
          <w:sz w:val="24"/>
          <w:szCs w:val="24"/>
        </w:rPr>
        <w:t>-</w:t>
      </w:r>
      <w:r w:rsidR="00000393">
        <w:rPr>
          <w:rFonts w:ascii="Times New Roman" w:hAnsi="Times New Roman" w:cs="Times New Roman"/>
          <w:sz w:val="24"/>
          <w:szCs w:val="24"/>
        </w:rPr>
        <w:t xml:space="preserve">ter </w:t>
      </w:r>
      <w:r w:rsidR="00000393" w:rsidRPr="00000393">
        <w:rPr>
          <w:rFonts w:ascii="Times New Roman" w:hAnsi="Times New Roman" w:cs="Times New Roman"/>
          <w:sz w:val="24"/>
          <w:szCs w:val="24"/>
        </w:rPr>
        <w:t>sarà lo stesso delle precedenti edizioni e che, di contro, per chi rateizza</w:t>
      </w:r>
      <w:r w:rsidR="00C250B4">
        <w:rPr>
          <w:rFonts w:ascii="Times New Roman" w:hAnsi="Times New Roman" w:cs="Times New Roman"/>
          <w:sz w:val="24"/>
          <w:szCs w:val="24"/>
        </w:rPr>
        <w:t>,</w:t>
      </w:r>
      <w:r w:rsidR="00000393" w:rsidRPr="00000393">
        <w:rPr>
          <w:rFonts w:ascii="Times New Roman" w:hAnsi="Times New Roman" w:cs="Times New Roman"/>
          <w:sz w:val="24"/>
          <w:szCs w:val="24"/>
        </w:rPr>
        <w:t xml:space="preserve"> il tasso d’interesse sarà del 2 % e che </w:t>
      </w:r>
      <w:r w:rsidR="00000393" w:rsidRPr="00000393">
        <w:rPr>
          <w:rFonts w:ascii="Times New Roman" w:hAnsi="Times New Roman" w:cs="Times New Roman"/>
          <w:b/>
          <w:sz w:val="24"/>
          <w:szCs w:val="24"/>
        </w:rPr>
        <w:t xml:space="preserve">il pagamento potrà essere dilazionato in </w:t>
      </w:r>
      <w:r w:rsidR="00000393">
        <w:rPr>
          <w:rFonts w:ascii="Times New Roman" w:hAnsi="Times New Roman" w:cs="Times New Roman"/>
          <w:b/>
          <w:sz w:val="24"/>
          <w:szCs w:val="24"/>
        </w:rPr>
        <w:t>circa 4</w:t>
      </w:r>
      <w:r w:rsidR="00000393" w:rsidRPr="00000393">
        <w:rPr>
          <w:rFonts w:ascii="Times New Roman" w:hAnsi="Times New Roman" w:cs="Times New Roman"/>
          <w:b/>
          <w:sz w:val="24"/>
          <w:szCs w:val="24"/>
        </w:rPr>
        <w:t xml:space="preserve"> anni</w:t>
      </w:r>
      <w:r w:rsidR="00000393">
        <w:rPr>
          <w:rFonts w:ascii="Times New Roman" w:hAnsi="Times New Roman" w:cs="Times New Roman"/>
          <w:b/>
          <w:sz w:val="24"/>
          <w:szCs w:val="24"/>
        </w:rPr>
        <w:t xml:space="preserve"> mediante un piano di ammortamento di 17 rate.</w:t>
      </w:r>
    </w:p>
    <w:p w14:paraId="022ABFB7" w14:textId="77777777" w:rsidR="002616E7" w:rsidRDefault="002616E7" w:rsidP="002616E7">
      <w:pPr>
        <w:spacing w:after="0" w:line="360" w:lineRule="auto"/>
        <w:ind w:right="566"/>
        <w:jc w:val="both"/>
        <w:rPr>
          <w:rFonts w:ascii="Times New Roman" w:hAnsi="Times New Roman" w:cs="Times New Roman"/>
          <w:sz w:val="24"/>
          <w:szCs w:val="24"/>
        </w:rPr>
      </w:pPr>
    </w:p>
    <w:p w14:paraId="3D098EB8" w14:textId="77777777" w:rsidR="002616E7" w:rsidRDefault="002616E7" w:rsidP="002616E7">
      <w:pPr>
        <w:spacing w:after="0" w:line="360" w:lineRule="auto"/>
        <w:ind w:right="566"/>
        <w:jc w:val="both"/>
        <w:rPr>
          <w:rFonts w:ascii="Times New Roman" w:hAnsi="Times New Roman" w:cs="Times New Roman"/>
          <w:sz w:val="24"/>
          <w:szCs w:val="24"/>
        </w:rPr>
      </w:pPr>
    </w:p>
    <w:p w14:paraId="32B50E60" w14:textId="1F09997F" w:rsidR="00263296" w:rsidRPr="00263296" w:rsidRDefault="00263296" w:rsidP="002616E7">
      <w:pPr>
        <w:spacing w:after="0" w:line="360" w:lineRule="auto"/>
        <w:ind w:right="566"/>
        <w:jc w:val="both"/>
        <w:rPr>
          <w:rFonts w:ascii="Times New Roman" w:hAnsi="Times New Roman" w:cs="Times New Roman"/>
          <w:sz w:val="24"/>
          <w:szCs w:val="24"/>
        </w:rPr>
      </w:pPr>
      <w:r w:rsidRPr="00263296">
        <w:rPr>
          <w:rFonts w:ascii="Times New Roman" w:hAnsi="Times New Roman" w:cs="Times New Roman"/>
          <w:sz w:val="24"/>
          <w:szCs w:val="24"/>
        </w:rPr>
        <w:t xml:space="preserve">Lecce, </w:t>
      </w:r>
      <w:r w:rsidR="005A291C">
        <w:rPr>
          <w:rFonts w:ascii="Times New Roman" w:hAnsi="Times New Roman" w:cs="Times New Roman"/>
          <w:sz w:val="24"/>
          <w:szCs w:val="24"/>
        </w:rPr>
        <w:t>2</w:t>
      </w:r>
      <w:r w:rsidR="00B14819">
        <w:rPr>
          <w:rFonts w:ascii="Times New Roman" w:hAnsi="Times New Roman" w:cs="Times New Roman"/>
          <w:sz w:val="24"/>
          <w:szCs w:val="24"/>
        </w:rPr>
        <w:t>3</w:t>
      </w:r>
      <w:r w:rsidRPr="00263296">
        <w:rPr>
          <w:rFonts w:ascii="Times New Roman" w:hAnsi="Times New Roman" w:cs="Times New Roman"/>
          <w:sz w:val="24"/>
          <w:szCs w:val="24"/>
        </w:rPr>
        <w:t>.</w:t>
      </w:r>
      <w:r w:rsidR="005A291C">
        <w:rPr>
          <w:rFonts w:ascii="Times New Roman" w:hAnsi="Times New Roman" w:cs="Times New Roman"/>
          <w:sz w:val="24"/>
          <w:szCs w:val="24"/>
        </w:rPr>
        <w:t>10</w:t>
      </w:r>
      <w:r w:rsidRPr="00263296">
        <w:rPr>
          <w:rFonts w:ascii="Times New Roman" w:hAnsi="Times New Roman" w:cs="Times New Roman"/>
          <w:sz w:val="24"/>
          <w:szCs w:val="24"/>
        </w:rPr>
        <w:t>.201</w:t>
      </w:r>
      <w:r>
        <w:rPr>
          <w:rFonts w:ascii="Times New Roman" w:hAnsi="Times New Roman" w:cs="Times New Roman"/>
          <w:sz w:val="24"/>
          <w:szCs w:val="24"/>
        </w:rPr>
        <w:t>9</w:t>
      </w:r>
    </w:p>
    <w:p w14:paraId="66F54812" w14:textId="77777777" w:rsidR="00015155" w:rsidRDefault="00263296" w:rsidP="00263296">
      <w:pPr>
        <w:spacing w:after="0" w:line="360" w:lineRule="auto"/>
        <w:ind w:left="567" w:right="566"/>
        <w:jc w:val="right"/>
        <w:rPr>
          <w:rFonts w:ascii="Times New Roman" w:hAnsi="Times New Roman" w:cs="Times New Roman"/>
          <w:sz w:val="24"/>
          <w:szCs w:val="24"/>
        </w:rPr>
      </w:pPr>
      <w:r w:rsidRPr="00263296">
        <w:rPr>
          <w:rFonts w:ascii="Times New Roman" w:hAnsi="Times New Roman" w:cs="Times New Roman"/>
          <w:sz w:val="24"/>
          <w:szCs w:val="24"/>
        </w:rPr>
        <w:t>Avv. Maurizio Villani</w:t>
      </w:r>
    </w:p>
    <w:p w14:paraId="6ADADA84" w14:textId="77777777" w:rsidR="00263296" w:rsidRPr="00263296" w:rsidRDefault="00263296" w:rsidP="00A97DE8">
      <w:pPr>
        <w:spacing w:after="0" w:line="360" w:lineRule="auto"/>
        <w:ind w:left="567" w:right="566"/>
        <w:jc w:val="right"/>
        <w:rPr>
          <w:rFonts w:ascii="Times New Roman" w:hAnsi="Times New Roman" w:cs="Times New Roman"/>
          <w:sz w:val="24"/>
          <w:szCs w:val="24"/>
        </w:rPr>
      </w:pPr>
      <w:r>
        <w:rPr>
          <w:rFonts w:ascii="Times New Roman" w:hAnsi="Times New Roman" w:cs="Times New Roman"/>
          <w:sz w:val="24"/>
          <w:szCs w:val="24"/>
        </w:rPr>
        <w:t>Avv. Federica Attanas</w:t>
      </w:r>
      <w:r w:rsidR="00A97DE8">
        <w:rPr>
          <w:rFonts w:ascii="Times New Roman" w:hAnsi="Times New Roman" w:cs="Times New Roman"/>
          <w:sz w:val="24"/>
          <w:szCs w:val="24"/>
        </w:rPr>
        <w:t>i</w:t>
      </w:r>
    </w:p>
    <w:p w14:paraId="68FDDD15" w14:textId="77777777" w:rsidR="00D90636" w:rsidRPr="00263296" w:rsidRDefault="00263296" w:rsidP="00263296">
      <w:pPr>
        <w:spacing w:after="0" w:line="360" w:lineRule="auto"/>
        <w:ind w:left="567" w:right="56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175474" wp14:editId="100FE094">
            <wp:extent cx="5730875" cy="1408430"/>
            <wp:effectExtent l="0" t="0" r="317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408430"/>
                    </a:xfrm>
                    <a:prstGeom prst="rect">
                      <a:avLst/>
                    </a:prstGeom>
                    <a:noFill/>
                  </pic:spPr>
                </pic:pic>
              </a:graphicData>
            </a:graphic>
          </wp:inline>
        </w:drawing>
      </w:r>
    </w:p>
    <w:sectPr w:rsidR="00D90636" w:rsidRPr="0026329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894E" w14:textId="77777777" w:rsidR="001F49BE" w:rsidRDefault="001F49BE" w:rsidP="00263296">
      <w:pPr>
        <w:spacing w:after="0" w:line="240" w:lineRule="auto"/>
      </w:pPr>
      <w:r>
        <w:separator/>
      </w:r>
    </w:p>
  </w:endnote>
  <w:endnote w:type="continuationSeparator" w:id="0">
    <w:p w14:paraId="0A889639" w14:textId="77777777" w:rsidR="001F49BE" w:rsidRDefault="001F49BE" w:rsidP="002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BookBas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88591"/>
      <w:docPartObj>
        <w:docPartGallery w:val="Page Numbers (Bottom of Page)"/>
        <w:docPartUnique/>
      </w:docPartObj>
    </w:sdtPr>
    <w:sdtEndPr/>
    <w:sdtContent>
      <w:p w14:paraId="1E0E3882" w14:textId="77777777" w:rsidR="00263296" w:rsidRDefault="00263296">
        <w:pPr>
          <w:pStyle w:val="Pidipagina"/>
          <w:jc w:val="center"/>
        </w:pPr>
        <w:r>
          <w:fldChar w:fldCharType="begin"/>
        </w:r>
        <w:r>
          <w:instrText>PAGE   \* MERGEFORMAT</w:instrText>
        </w:r>
        <w:r>
          <w:fldChar w:fldCharType="separate"/>
        </w:r>
        <w:r>
          <w:t>2</w:t>
        </w:r>
        <w:r>
          <w:fldChar w:fldCharType="end"/>
        </w:r>
      </w:p>
    </w:sdtContent>
  </w:sdt>
  <w:p w14:paraId="229A8A4D" w14:textId="77777777" w:rsidR="00263296" w:rsidRDefault="002632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505C" w14:textId="77777777" w:rsidR="001F49BE" w:rsidRDefault="001F49BE" w:rsidP="00263296">
      <w:pPr>
        <w:spacing w:after="0" w:line="240" w:lineRule="auto"/>
      </w:pPr>
      <w:r>
        <w:separator/>
      </w:r>
    </w:p>
  </w:footnote>
  <w:footnote w:type="continuationSeparator" w:id="0">
    <w:p w14:paraId="2B242863" w14:textId="77777777" w:rsidR="001F49BE" w:rsidRDefault="001F49BE" w:rsidP="00263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E76"/>
    <w:multiLevelType w:val="hybridMultilevel"/>
    <w:tmpl w:val="CE3EB49A"/>
    <w:lvl w:ilvl="0" w:tplc="130E6D44">
      <w:start w:val="1"/>
      <w:numFmt w:val="lowerLetter"/>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E17804"/>
    <w:multiLevelType w:val="hybridMultilevel"/>
    <w:tmpl w:val="7584E3F4"/>
    <w:lvl w:ilvl="0" w:tplc="B2D4F8F4">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A1B2828"/>
    <w:multiLevelType w:val="hybridMultilevel"/>
    <w:tmpl w:val="4B6A72CC"/>
    <w:lvl w:ilvl="0" w:tplc="74DCA50E">
      <w:numFmt w:val="bullet"/>
      <w:lvlText w:val="-"/>
      <w:lvlJc w:val="left"/>
      <w:pPr>
        <w:ind w:left="1494" w:hanging="360"/>
      </w:pPr>
      <w:rPr>
        <w:rFonts w:ascii="Times New Roman" w:eastAsiaTheme="minorHAnsi" w:hAnsi="Times New Roman" w:cs="Times New Roman" w:hint="default"/>
      </w:rPr>
    </w:lvl>
    <w:lvl w:ilvl="1" w:tplc="0204A650">
      <w:numFmt w:val="bullet"/>
      <w:lvlText w:val="-"/>
      <w:lvlJc w:val="left"/>
      <w:pPr>
        <w:ind w:left="2214" w:hanging="360"/>
      </w:pPr>
      <w:rPr>
        <w:rFonts w:ascii="Times New Roman" w:eastAsiaTheme="minorHAnsi" w:hAnsi="Times New Roman" w:cs="Times New Roman"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22BF4053"/>
    <w:multiLevelType w:val="multilevel"/>
    <w:tmpl w:val="05947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2C5976"/>
    <w:multiLevelType w:val="multilevel"/>
    <w:tmpl w:val="BBE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26EDA"/>
    <w:multiLevelType w:val="hybridMultilevel"/>
    <w:tmpl w:val="1C2C4D4A"/>
    <w:lvl w:ilvl="0" w:tplc="86283E3C">
      <w:start w:val="1"/>
      <w:numFmt w:val="decimal"/>
      <w:lvlText w:val="%1."/>
      <w:lvlJc w:val="left"/>
      <w:pPr>
        <w:ind w:left="927" w:hanging="360"/>
      </w:pPr>
      <w:rPr>
        <w:rFonts w:hint="default"/>
        <w:b/>
        <w:bCs w:val="0"/>
        <w:i/>
        <w:iCs/>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4DA0F68"/>
    <w:multiLevelType w:val="hybridMultilevel"/>
    <w:tmpl w:val="C2DAD614"/>
    <w:lvl w:ilvl="0" w:tplc="0410000B">
      <w:start w:val="1"/>
      <w:numFmt w:val="bullet"/>
      <w:lvlText w:val=""/>
      <w:lvlJc w:val="left"/>
      <w:pPr>
        <w:ind w:left="1854" w:hanging="360"/>
      </w:pPr>
      <w:rPr>
        <w:rFonts w:ascii="Wingdings" w:hAnsi="Wingdings" w:hint="default"/>
      </w:rPr>
    </w:lvl>
    <w:lvl w:ilvl="1" w:tplc="74DCA50E">
      <w:numFmt w:val="bullet"/>
      <w:lvlText w:val="-"/>
      <w:lvlJc w:val="left"/>
      <w:pPr>
        <w:ind w:left="2574" w:hanging="360"/>
      </w:pPr>
      <w:rPr>
        <w:rFonts w:ascii="Times New Roman" w:eastAsiaTheme="minorHAnsi" w:hAnsi="Times New Roman" w:cs="Times New Roman"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46A20777"/>
    <w:multiLevelType w:val="hybridMultilevel"/>
    <w:tmpl w:val="FE7C8DF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4CC44500"/>
    <w:multiLevelType w:val="hybridMultilevel"/>
    <w:tmpl w:val="7946DB90"/>
    <w:lvl w:ilvl="0" w:tplc="852A256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51365E55"/>
    <w:multiLevelType w:val="hybridMultilevel"/>
    <w:tmpl w:val="DC5A0F3A"/>
    <w:lvl w:ilvl="0" w:tplc="0B0AC1BC">
      <w:numFmt w:val="bullet"/>
      <w:lvlText w:val="-"/>
      <w:lvlJc w:val="left"/>
      <w:pPr>
        <w:ind w:left="1494" w:hanging="360"/>
      </w:pPr>
      <w:rPr>
        <w:rFonts w:ascii="Times New Roman" w:eastAsiaTheme="minorHAns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54AB6313"/>
    <w:multiLevelType w:val="multilevel"/>
    <w:tmpl w:val="163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76B66"/>
    <w:multiLevelType w:val="multilevel"/>
    <w:tmpl w:val="C77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BB5CCB"/>
    <w:multiLevelType w:val="multilevel"/>
    <w:tmpl w:val="7C009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45B46"/>
    <w:multiLevelType w:val="hybridMultilevel"/>
    <w:tmpl w:val="860AC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584779"/>
    <w:multiLevelType w:val="multilevel"/>
    <w:tmpl w:val="1F7065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3"/>
  </w:num>
  <w:num w:numId="4">
    <w:abstractNumId w:val="7"/>
  </w:num>
  <w:num w:numId="5">
    <w:abstractNumId w:val="2"/>
  </w:num>
  <w:num w:numId="6">
    <w:abstractNumId w:val="5"/>
  </w:num>
  <w:num w:numId="7">
    <w:abstractNumId w:val="10"/>
  </w:num>
  <w:num w:numId="8">
    <w:abstractNumId w:val="0"/>
  </w:num>
  <w:num w:numId="9">
    <w:abstractNumId w:val="4"/>
  </w:num>
  <w:num w:numId="10">
    <w:abstractNumId w:val="11"/>
  </w:num>
  <w:num w:numId="11">
    <w:abstractNumId w:val="1"/>
  </w:num>
  <w:num w:numId="12">
    <w:abstractNumId w:val="12"/>
  </w:num>
  <w:num w:numId="13">
    <w:abstractNumId w:val="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E1"/>
    <w:rsid w:val="00000393"/>
    <w:rsid w:val="00015155"/>
    <w:rsid w:val="000509A2"/>
    <w:rsid w:val="0005460C"/>
    <w:rsid w:val="00094434"/>
    <w:rsid w:val="000B5BDC"/>
    <w:rsid w:val="000D551F"/>
    <w:rsid w:val="000D6F3A"/>
    <w:rsid w:val="00137568"/>
    <w:rsid w:val="001752B1"/>
    <w:rsid w:val="00175E57"/>
    <w:rsid w:val="001825F5"/>
    <w:rsid w:val="0018667D"/>
    <w:rsid w:val="001867D6"/>
    <w:rsid w:val="001B1E99"/>
    <w:rsid w:val="001B3342"/>
    <w:rsid w:val="001F49BE"/>
    <w:rsid w:val="002076FE"/>
    <w:rsid w:val="0022451E"/>
    <w:rsid w:val="002616E7"/>
    <w:rsid w:val="00263296"/>
    <w:rsid w:val="002976EA"/>
    <w:rsid w:val="002E3902"/>
    <w:rsid w:val="002F76C9"/>
    <w:rsid w:val="0032121D"/>
    <w:rsid w:val="00353B0E"/>
    <w:rsid w:val="003A5313"/>
    <w:rsid w:val="003B6182"/>
    <w:rsid w:val="003D753C"/>
    <w:rsid w:val="003E2C6B"/>
    <w:rsid w:val="003F3DB8"/>
    <w:rsid w:val="003F723F"/>
    <w:rsid w:val="00413CC3"/>
    <w:rsid w:val="0049072A"/>
    <w:rsid w:val="004C6828"/>
    <w:rsid w:val="004D4B0F"/>
    <w:rsid w:val="004E609F"/>
    <w:rsid w:val="00513866"/>
    <w:rsid w:val="005656AB"/>
    <w:rsid w:val="00571058"/>
    <w:rsid w:val="00583096"/>
    <w:rsid w:val="005A1244"/>
    <w:rsid w:val="005A291C"/>
    <w:rsid w:val="005D51CD"/>
    <w:rsid w:val="00614F85"/>
    <w:rsid w:val="006C54DC"/>
    <w:rsid w:val="006D0548"/>
    <w:rsid w:val="006F357A"/>
    <w:rsid w:val="007146EF"/>
    <w:rsid w:val="00732372"/>
    <w:rsid w:val="00737AC8"/>
    <w:rsid w:val="00787AF2"/>
    <w:rsid w:val="007961E1"/>
    <w:rsid w:val="008435F3"/>
    <w:rsid w:val="00853B5A"/>
    <w:rsid w:val="008C309A"/>
    <w:rsid w:val="008D6B66"/>
    <w:rsid w:val="008F24C2"/>
    <w:rsid w:val="00927925"/>
    <w:rsid w:val="00984E9D"/>
    <w:rsid w:val="00991C9E"/>
    <w:rsid w:val="009A6AC8"/>
    <w:rsid w:val="009E7782"/>
    <w:rsid w:val="00A241CF"/>
    <w:rsid w:val="00A346B5"/>
    <w:rsid w:val="00A413D0"/>
    <w:rsid w:val="00A97DE8"/>
    <w:rsid w:val="00AE4511"/>
    <w:rsid w:val="00B14819"/>
    <w:rsid w:val="00B9403E"/>
    <w:rsid w:val="00C05DF9"/>
    <w:rsid w:val="00C24D21"/>
    <w:rsid w:val="00C250B4"/>
    <w:rsid w:val="00C40908"/>
    <w:rsid w:val="00CB30AE"/>
    <w:rsid w:val="00CD242A"/>
    <w:rsid w:val="00D2331B"/>
    <w:rsid w:val="00D37D94"/>
    <w:rsid w:val="00D511A3"/>
    <w:rsid w:val="00D90636"/>
    <w:rsid w:val="00DB0505"/>
    <w:rsid w:val="00DC3B46"/>
    <w:rsid w:val="00DF6A18"/>
    <w:rsid w:val="00E00966"/>
    <w:rsid w:val="00E17516"/>
    <w:rsid w:val="00E36905"/>
    <w:rsid w:val="00E9524B"/>
    <w:rsid w:val="00ED2FFD"/>
    <w:rsid w:val="00EE3F44"/>
    <w:rsid w:val="00F20BFA"/>
    <w:rsid w:val="00F322E0"/>
    <w:rsid w:val="00F56E60"/>
    <w:rsid w:val="00F66323"/>
    <w:rsid w:val="00F87132"/>
    <w:rsid w:val="00F9678C"/>
    <w:rsid w:val="00FC6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71EC"/>
  <w15:chartTrackingRefBased/>
  <w15:docId w15:val="{EAE0723B-CC11-4F95-99F0-1A86ECB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34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511"/>
    <w:pPr>
      <w:ind w:left="720"/>
      <w:contextualSpacing/>
    </w:pPr>
  </w:style>
  <w:style w:type="paragraph" w:styleId="Intestazione">
    <w:name w:val="header"/>
    <w:basedOn w:val="Normale"/>
    <w:link w:val="IntestazioneCarattere"/>
    <w:uiPriority w:val="99"/>
    <w:unhideWhenUsed/>
    <w:rsid w:val="002632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296"/>
  </w:style>
  <w:style w:type="paragraph" w:styleId="Pidipagina">
    <w:name w:val="footer"/>
    <w:basedOn w:val="Normale"/>
    <w:link w:val="PidipaginaCarattere"/>
    <w:uiPriority w:val="99"/>
    <w:unhideWhenUsed/>
    <w:rsid w:val="002632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296"/>
  </w:style>
  <w:style w:type="paragraph" w:styleId="Testonotaapidipagina">
    <w:name w:val="footnote text"/>
    <w:basedOn w:val="Normale"/>
    <w:link w:val="TestonotaapidipaginaCarattere"/>
    <w:uiPriority w:val="99"/>
    <w:semiHidden/>
    <w:unhideWhenUsed/>
    <w:rsid w:val="00B940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403E"/>
    <w:rPr>
      <w:sz w:val="20"/>
      <w:szCs w:val="20"/>
    </w:rPr>
  </w:style>
  <w:style w:type="character" w:styleId="Rimandonotaapidipagina">
    <w:name w:val="footnote reference"/>
    <w:basedOn w:val="Carpredefinitoparagrafo"/>
    <w:uiPriority w:val="99"/>
    <w:semiHidden/>
    <w:unhideWhenUsed/>
    <w:rsid w:val="00B9403E"/>
    <w:rPr>
      <w:vertAlign w:val="superscript"/>
    </w:rPr>
  </w:style>
  <w:style w:type="character" w:styleId="Collegamentoipertestuale">
    <w:name w:val="Hyperlink"/>
    <w:basedOn w:val="Carpredefinitoparagrafo"/>
    <w:uiPriority w:val="99"/>
    <w:unhideWhenUsed/>
    <w:rsid w:val="009A6AC8"/>
    <w:rPr>
      <w:color w:val="0563C1" w:themeColor="hyperlink"/>
      <w:u w:val="single"/>
    </w:rPr>
  </w:style>
  <w:style w:type="character" w:styleId="Menzionenonrisolta">
    <w:name w:val="Unresolved Mention"/>
    <w:basedOn w:val="Carpredefinitoparagrafo"/>
    <w:uiPriority w:val="99"/>
    <w:semiHidden/>
    <w:unhideWhenUsed/>
    <w:rsid w:val="009A6AC8"/>
    <w:rPr>
      <w:color w:val="605E5C"/>
      <w:shd w:val="clear" w:color="auto" w:fill="E1DFDD"/>
    </w:rPr>
  </w:style>
  <w:style w:type="character" w:customStyle="1" w:styleId="Titolo2Carattere">
    <w:name w:val="Titolo 2 Carattere"/>
    <w:basedOn w:val="Carpredefinitoparagrafo"/>
    <w:link w:val="Titolo2"/>
    <w:uiPriority w:val="9"/>
    <w:semiHidden/>
    <w:rsid w:val="00A346B5"/>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18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967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0588">
      <w:bodyDiv w:val="1"/>
      <w:marLeft w:val="0"/>
      <w:marRight w:val="0"/>
      <w:marTop w:val="0"/>
      <w:marBottom w:val="0"/>
      <w:divBdr>
        <w:top w:val="none" w:sz="0" w:space="0" w:color="auto"/>
        <w:left w:val="none" w:sz="0" w:space="0" w:color="auto"/>
        <w:bottom w:val="none" w:sz="0" w:space="0" w:color="auto"/>
        <w:right w:val="none" w:sz="0" w:space="0" w:color="auto"/>
      </w:divBdr>
    </w:div>
    <w:div w:id="688217469">
      <w:bodyDiv w:val="1"/>
      <w:marLeft w:val="0"/>
      <w:marRight w:val="0"/>
      <w:marTop w:val="0"/>
      <w:marBottom w:val="0"/>
      <w:divBdr>
        <w:top w:val="none" w:sz="0" w:space="0" w:color="auto"/>
        <w:left w:val="none" w:sz="0" w:space="0" w:color="auto"/>
        <w:bottom w:val="none" w:sz="0" w:space="0" w:color="auto"/>
        <w:right w:val="none" w:sz="0" w:space="0" w:color="auto"/>
      </w:divBdr>
    </w:div>
    <w:div w:id="708649183">
      <w:bodyDiv w:val="1"/>
      <w:marLeft w:val="0"/>
      <w:marRight w:val="0"/>
      <w:marTop w:val="0"/>
      <w:marBottom w:val="0"/>
      <w:divBdr>
        <w:top w:val="none" w:sz="0" w:space="0" w:color="auto"/>
        <w:left w:val="none" w:sz="0" w:space="0" w:color="auto"/>
        <w:bottom w:val="none" w:sz="0" w:space="0" w:color="auto"/>
        <w:right w:val="none" w:sz="0" w:space="0" w:color="auto"/>
      </w:divBdr>
    </w:div>
    <w:div w:id="1199272689">
      <w:bodyDiv w:val="1"/>
      <w:marLeft w:val="0"/>
      <w:marRight w:val="0"/>
      <w:marTop w:val="0"/>
      <w:marBottom w:val="0"/>
      <w:divBdr>
        <w:top w:val="none" w:sz="0" w:space="0" w:color="auto"/>
        <w:left w:val="none" w:sz="0" w:space="0" w:color="auto"/>
        <w:bottom w:val="none" w:sz="0" w:space="0" w:color="auto"/>
        <w:right w:val="none" w:sz="0" w:space="0" w:color="auto"/>
      </w:divBdr>
    </w:div>
    <w:div w:id="20941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21B2-4E46-4883-A7BA-74A3CE6A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2019-10-22T09:21:00Z</cp:lastPrinted>
  <dcterms:created xsi:type="dcterms:W3CDTF">2019-10-24T07:07:00Z</dcterms:created>
  <dcterms:modified xsi:type="dcterms:W3CDTF">2019-10-24T07:07:00Z</dcterms:modified>
</cp:coreProperties>
</file>