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24C88" w14:textId="2E8F8FC8" w:rsidR="00C5138F" w:rsidRPr="00DC02D1" w:rsidRDefault="00DC02D1" w:rsidP="004F1B73">
      <w:pPr>
        <w:pStyle w:val="Style3"/>
        <w:kinsoku w:val="0"/>
        <w:autoSpaceDE/>
        <w:autoSpaceDN/>
        <w:spacing w:before="0"/>
        <w:ind w:firstLine="0"/>
        <w:jc w:val="center"/>
        <w:rPr>
          <w:rStyle w:val="CharacterStyle1"/>
          <w:rFonts w:asciiTheme="minorHAnsi" w:hAnsiTheme="minorHAnsi" w:cstheme="minorHAnsi"/>
          <w:b/>
          <w:bCs/>
          <w:spacing w:val="3"/>
          <w:sz w:val="36"/>
          <w:szCs w:val="36"/>
        </w:rPr>
      </w:pPr>
      <w:bookmarkStart w:id="0" w:name="_GoBack"/>
      <w:bookmarkEnd w:id="0"/>
      <w:r w:rsidRPr="00DC02D1">
        <w:rPr>
          <w:rStyle w:val="CharacterStyle1"/>
          <w:rFonts w:asciiTheme="minorHAnsi" w:hAnsiTheme="minorHAnsi" w:cstheme="minorHAnsi"/>
          <w:b/>
          <w:bCs/>
          <w:spacing w:val="3"/>
          <w:sz w:val="36"/>
          <w:szCs w:val="36"/>
        </w:rPr>
        <w:t>I PRINCIPI DELLA CORTE DI CASSAZIONE IN TEMA DI ACCERTAMENTI FISCALI</w:t>
      </w:r>
    </w:p>
    <w:p w14:paraId="283ED958" w14:textId="188BD046" w:rsidR="00C5138F" w:rsidRPr="00F71BB8" w:rsidRDefault="004F1B73" w:rsidP="004D7F77">
      <w:pPr>
        <w:pStyle w:val="Style3"/>
        <w:kinsoku w:val="0"/>
        <w:autoSpaceDE/>
        <w:autoSpaceDN/>
        <w:spacing w:before="0"/>
        <w:ind w:firstLine="0"/>
        <w:rPr>
          <w:rStyle w:val="CharacterStyle1"/>
          <w:rFonts w:asciiTheme="minorHAnsi" w:hAnsiTheme="minorHAnsi" w:cstheme="minorHAnsi"/>
          <w:sz w:val="28"/>
          <w:szCs w:val="28"/>
        </w:rPr>
      </w:pPr>
      <w:r w:rsidRPr="00F71BB8">
        <w:rPr>
          <w:rStyle w:val="CharacterStyle1"/>
          <w:rFonts w:asciiTheme="minorHAnsi" w:hAnsiTheme="minorHAnsi" w:cstheme="minorHAnsi"/>
          <w:spacing w:val="3"/>
          <w:sz w:val="28"/>
          <w:szCs w:val="28"/>
        </w:rPr>
        <w:t>S</w:t>
      </w:r>
      <w:r w:rsidR="00C5138F" w:rsidRPr="00F71BB8">
        <w:rPr>
          <w:rStyle w:val="CharacterStyle1"/>
          <w:rFonts w:asciiTheme="minorHAnsi" w:hAnsiTheme="minorHAnsi" w:cstheme="minorHAnsi"/>
          <w:spacing w:val="3"/>
          <w:sz w:val="28"/>
          <w:szCs w:val="28"/>
        </w:rPr>
        <w:t xml:space="preserve">econdo principi consolidati della giurisprudenza </w:t>
      </w:r>
      <w:r w:rsidR="00F9181F">
        <w:rPr>
          <w:rStyle w:val="CharacterStyle1"/>
          <w:rFonts w:asciiTheme="minorHAnsi" w:hAnsiTheme="minorHAnsi" w:cstheme="minorHAnsi"/>
          <w:spacing w:val="3"/>
          <w:sz w:val="28"/>
          <w:szCs w:val="28"/>
        </w:rPr>
        <w:t>della</w:t>
      </w:r>
      <w:r w:rsidR="00C5138F" w:rsidRPr="00F71BB8">
        <w:rPr>
          <w:rStyle w:val="CharacterStyle1"/>
          <w:rFonts w:asciiTheme="minorHAnsi" w:hAnsiTheme="minorHAnsi" w:cstheme="minorHAnsi"/>
          <w:spacing w:val="3"/>
          <w:sz w:val="28"/>
          <w:szCs w:val="28"/>
        </w:rPr>
        <w:t xml:space="preserve"> Corte</w:t>
      </w:r>
      <w:r w:rsidR="00F9181F">
        <w:rPr>
          <w:rStyle w:val="CharacterStyle1"/>
          <w:rFonts w:asciiTheme="minorHAnsi" w:hAnsiTheme="minorHAnsi" w:cstheme="minorHAnsi"/>
          <w:spacing w:val="3"/>
          <w:sz w:val="28"/>
          <w:szCs w:val="28"/>
        </w:rPr>
        <w:t xml:space="preserve"> di Cassazione,</w:t>
      </w:r>
      <w:r w:rsidR="00C5138F" w:rsidRPr="00F71BB8">
        <w:rPr>
          <w:rStyle w:val="CharacterStyle1"/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="00C5138F" w:rsidRPr="00F71BB8">
        <w:rPr>
          <w:rStyle w:val="CharacterStyle1"/>
          <w:rFonts w:asciiTheme="minorHAnsi" w:hAnsiTheme="minorHAnsi" w:cstheme="minorHAnsi"/>
          <w:spacing w:val="4"/>
          <w:sz w:val="28"/>
          <w:szCs w:val="28"/>
        </w:rPr>
        <w:t xml:space="preserve">l'art. 7, comma 1, della legge 27 luglio 2000, n. 212, nel prevedere che </w:t>
      </w:r>
      <w:r w:rsidR="00C5138F" w:rsidRPr="00F71BB8">
        <w:rPr>
          <w:rStyle w:val="CharacterStyle1"/>
          <w:rFonts w:asciiTheme="minorHAnsi" w:hAnsiTheme="minorHAnsi" w:cstheme="minorHAnsi"/>
          <w:spacing w:val="12"/>
          <w:sz w:val="28"/>
          <w:szCs w:val="28"/>
        </w:rPr>
        <w:t xml:space="preserve">debba essere allegato all'atto dell'Amministrazione finanziaria ogni </w:t>
      </w:r>
      <w:r w:rsidR="00C5138F" w:rsidRPr="00F71BB8">
        <w:rPr>
          <w:rStyle w:val="CharacterStyle1"/>
          <w:rFonts w:asciiTheme="minorHAnsi" w:hAnsiTheme="minorHAnsi" w:cstheme="minorHAnsi"/>
          <w:sz w:val="28"/>
          <w:szCs w:val="28"/>
        </w:rPr>
        <w:t xml:space="preserve">documento richiamato nella motivazione di esso, non trova applicazione per </w:t>
      </w:r>
      <w:r w:rsidR="00C5138F" w:rsidRPr="00F71BB8">
        <w:rPr>
          <w:rStyle w:val="CharacterStyle1"/>
          <w:rFonts w:asciiTheme="minorHAnsi" w:hAnsiTheme="minorHAnsi" w:cstheme="minorHAnsi"/>
          <w:spacing w:val="2"/>
          <w:sz w:val="28"/>
          <w:szCs w:val="28"/>
        </w:rPr>
        <w:t xml:space="preserve">gli atti di cui il contribuente abbia già avuto integrale e legale conoscenza </w:t>
      </w:r>
      <w:r w:rsidR="00C5138F" w:rsidRPr="00F71BB8">
        <w:rPr>
          <w:rStyle w:val="CharacterStyle1"/>
          <w:rFonts w:asciiTheme="minorHAnsi" w:hAnsiTheme="minorHAnsi" w:cstheme="minorHAnsi"/>
          <w:spacing w:val="-3"/>
          <w:sz w:val="28"/>
          <w:szCs w:val="28"/>
        </w:rPr>
        <w:t xml:space="preserve">per effetto di precedente comunicazione, sicché è sufficiente che il processo </w:t>
      </w:r>
      <w:r w:rsidR="00C5138F" w:rsidRPr="00F71BB8">
        <w:rPr>
          <w:rStyle w:val="CharacterStyle1"/>
          <w:rFonts w:asciiTheme="minorHAnsi" w:hAnsiTheme="minorHAnsi" w:cstheme="minorHAnsi"/>
          <w:spacing w:val="3"/>
          <w:sz w:val="28"/>
          <w:szCs w:val="28"/>
        </w:rPr>
        <w:t xml:space="preserve">verbale di constatazione sia stato precedentemente consegnato in copia </w:t>
      </w:r>
      <w:r w:rsidR="00C5138F" w:rsidRPr="00F71BB8">
        <w:rPr>
          <w:rStyle w:val="CharacterStyle1"/>
          <w:rFonts w:asciiTheme="minorHAnsi" w:hAnsiTheme="minorHAnsi" w:cstheme="minorHAnsi"/>
          <w:spacing w:val="-2"/>
          <w:sz w:val="28"/>
          <w:szCs w:val="28"/>
        </w:rPr>
        <w:t xml:space="preserve">previa sottoscrizione al legale rappresentante della società contribuente (cfr. </w:t>
      </w:r>
      <w:r w:rsidR="00C5138F" w:rsidRPr="00F71BB8">
        <w:rPr>
          <w:rStyle w:val="CharacterStyle1"/>
          <w:rFonts w:asciiTheme="minorHAnsi" w:hAnsiTheme="minorHAnsi" w:cstheme="minorHAnsi"/>
          <w:spacing w:val="3"/>
          <w:sz w:val="28"/>
          <w:szCs w:val="28"/>
        </w:rPr>
        <w:t xml:space="preserve">Cass. </w:t>
      </w:r>
      <w:proofErr w:type="spellStart"/>
      <w:r w:rsidR="00C5138F" w:rsidRPr="00F71BB8">
        <w:rPr>
          <w:rStyle w:val="CharacterStyle1"/>
          <w:rFonts w:asciiTheme="minorHAnsi" w:hAnsiTheme="minorHAnsi" w:cstheme="minorHAnsi"/>
          <w:spacing w:val="3"/>
          <w:sz w:val="28"/>
          <w:szCs w:val="28"/>
        </w:rPr>
        <w:t>nn</w:t>
      </w:r>
      <w:proofErr w:type="spellEnd"/>
      <w:r w:rsidR="00C5138F" w:rsidRPr="00F71BB8">
        <w:rPr>
          <w:rStyle w:val="CharacterStyle1"/>
          <w:rFonts w:asciiTheme="minorHAnsi" w:hAnsiTheme="minorHAnsi" w:cstheme="minorHAnsi"/>
          <w:spacing w:val="3"/>
          <w:sz w:val="28"/>
          <w:szCs w:val="28"/>
        </w:rPr>
        <w:t xml:space="preserve">. 407/2015, 15327/2014), poiché un'interpretazione puramente </w:t>
      </w:r>
      <w:r w:rsidR="00C5138F" w:rsidRPr="00F71BB8">
        <w:rPr>
          <w:rStyle w:val="CharacterStyle1"/>
          <w:rFonts w:asciiTheme="minorHAnsi" w:hAnsiTheme="minorHAnsi" w:cstheme="minorHAnsi"/>
          <w:spacing w:val="2"/>
          <w:sz w:val="28"/>
          <w:szCs w:val="28"/>
        </w:rPr>
        <w:t xml:space="preserve">formalistica si porrebbe in contrasto con il criterio ermeneutico che impone </w:t>
      </w:r>
      <w:r w:rsidR="00C5138F" w:rsidRPr="00F71BB8">
        <w:rPr>
          <w:rStyle w:val="CharacterStyle1"/>
          <w:rFonts w:asciiTheme="minorHAnsi" w:hAnsiTheme="minorHAnsi" w:cstheme="minorHAnsi"/>
          <w:spacing w:val="6"/>
          <w:sz w:val="28"/>
          <w:szCs w:val="28"/>
        </w:rPr>
        <w:t xml:space="preserve">di dare alle norme procedurali una lettura che, nell'interesse generale, </w:t>
      </w:r>
      <w:r w:rsidR="00C5138F" w:rsidRPr="00F71BB8">
        <w:rPr>
          <w:rStyle w:val="CharacterStyle1"/>
          <w:rFonts w:asciiTheme="minorHAnsi" w:hAnsiTheme="minorHAnsi" w:cstheme="minorHAnsi"/>
          <w:spacing w:val="3"/>
          <w:sz w:val="28"/>
          <w:szCs w:val="28"/>
        </w:rPr>
        <w:t xml:space="preserve">faccia salva la funzione di garanzia loro propria, limitando al massimo le </w:t>
      </w:r>
      <w:r w:rsidR="00C5138F" w:rsidRPr="00F71BB8">
        <w:rPr>
          <w:rStyle w:val="CharacterStyle1"/>
          <w:rFonts w:asciiTheme="minorHAnsi" w:hAnsiTheme="minorHAnsi" w:cstheme="minorHAnsi"/>
          <w:spacing w:val="2"/>
          <w:sz w:val="28"/>
          <w:szCs w:val="28"/>
        </w:rPr>
        <w:t xml:space="preserve">cause di invalidità o d'inammissibilità chiaramente irragionevoli (cfr. Cass. </w:t>
      </w:r>
      <w:r w:rsidR="00C5138F" w:rsidRPr="00F71BB8">
        <w:rPr>
          <w:rStyle w:val="CharacterStyle1"/>
          <w:rFonts w:asciiTheme="minorHAnsi" w:hAnsiTheme="minorHAnsi" w:cstheme="minorHAnsi"/>
          <w:sz w:val="28"/>
          <w:szCs w:val="28"/>
        </w:rPr>
        <w:t>n. 18073/2008)</w:t>
      </w:r>
      <w:r w:rsidRPr="00F71BB8">
        <w:rPr>
          <w:rStyle w:val="CharacterStyle1"/>
          <w:rFonts w:asciiTheme="minorHAnsi" w:hAnsiTheme="minorHAnsi" w:cstheme="minorHAnsi"/>
          <w:sz w:val="28"/>
          <w:szCs w:val="28"/>
        </w:rPr>
        <w:t>.</w:t>
      </w:r>
    </w:p>
    <w:p w14:paraId="36C9A547" w14:textId="313ECA03" w:rsidR="00C5138F" w:rsidRPr="00F71BB8" w:rsidRDefault="00273502" w:rsidP="004D7F77">
      <w:pPr>
        <w:pStyle w:val="Style1"/>
        <w:kinsoku w:val="0"/>
        <w:autoSpaceDE/>
        <w:autoSpaceDN/>
        <w:adjustRightInd/>
        <w:spacing w:line="360" w:lineRule="auto"/>
        <w:ind w:right="72"/>
        <w:jc w:val="both"/>
        <w:rPr>
          <w:rStyle w:val="CharacterStyle2"/>
          <w:rFonts w:asciiTheme="minorHAnsi" w:hAnsiTheme="minorHAnsi" w:cstheme="minorHAnsi"/>
          <w:sz w:val="28"/>
          <w:szCs w:val="28"/>
        </w:rPr>
      </w:pPr>
      <w:r>
        <w:rPr>
          <w:rStyle w:val="CharacterStyle2"/>
          <w:rFonts w:asciiTheme="minorHAnsi" w:hAnsiTheme="minorHAnsi" w:cstheme="minorHAnsi"/>
          <w:spacing w:val="9"/>
          <w:sz w:val="28"/>
          <w:szCs w:val="28"/>
        </w:rPr>
        <w:t>L</w:t>
      </w:r>
      <w:r w:rsidR="00C5138F" w:rsidRPr="00F71BB8">
        <w:rPr>
          <w:rStyle w:val="CharacterStyle2"/>
          <w:rFonts w:asciiTheme="minorHAnsi" w:hAnsiTheme="minorHAnsi" w:cstheme="minorHAnsi"/>
          <w:spacing w:val="9"/>
          <w:sz w:val="28"/>
          <w:szCs w:val="28"/>
        </w:rPr>
        <w:t xml:space="preserve">'eventuale irrogazione di sanzioni, se contestuale all'accertamento </w:t>
      </w:r>
      <w:r w:rsidR="00C5138F" w:rsidRPr="00F71BB8">
        <w:rPr>
          <w:rStyle w:val="CharacterStyle2"/>
          <w:rFonts w:asciiTheme="minorHAnsi" w:hAnsiTheme="minorHAnsi" w:cstheme="minorHAnsi"/>
          <w:spacing w:val="7"/>
          <w:sz w:val="28"/>
          <w:szCs w:val="28"/>
        </w:rPr>
        <w:t xml:space="preserve">dell'imposta, si deve ritenere motivata quando la pretesa fiscale </w:t>
      </w:r>
      <w:r w:rsidR="00174B50">
        <w:rPr>
          <w:rStyle w:val="CharacterStyle2"/>
          <w:rFonts w:asciiTheme="minorHAnsi" w:hAnsiTheme="minorHAnsi" w:cstheme="minorHAnsi"/>
          <w:spacing w:val="7"/>
          <w:sz w:val="28"/>
          <w:szCs w:val="28"/>
        </w:rPr>
        <w:t>sia</w:t>
      </w:r>
      <w:r w:rsidR="00C5138F" w:rsidRPr="00F71BB8">
        <w:rPr>
          <w:rStyle w:val="CharacterStyle2"/>
          <w:rFonts w:asciiTheme="minorHAnsi" w:hAnsiTheme="minorHAnsi" w:cstheme="minorHAnsi"/>
          <w:spacing w:val="7"/>
          <w:sz w:val="28"/>
          <w:szCs w:val="28"/>
        </w:rPr>
        <w:t xml:space="preserve"> </w:t>
      </w:r>
      <w:r w:rsidR="00C5138F" w:rsidRPr="00F71BB8">
        <w:rPr>
          <w:rStyle w:val="CharacterStyle2"/>
          <w:rFonts w:asciiTheme="minorHAnsi" w:hAnsiTheme="minorHAnsi" w:cstheme="minorHAnsi"/>
          <w:spacing w:val="2"/>
          <w:sz w:val="28"/>
          <w:szCs w:val="28"/>
        </w:rPr>
        <w:t xml:space="preserve">definita nei suoi elementi essenziali e sia precisata la sanzione (cfr. Cass. </w:t>
      </w:r>
      <w:proofErr w:type="spellStart"/>
      <w:r w:rsidR="00C5138F" w:rsidRPr="00F71BB8">
        <w:rPr>
          <w:rStyle w:val="CharacterStyle2"/>
          <w:rFonts w:asciiTheme="minorHAnsi" w:hAnsiTheme="minorHAnsi" w:cstheme="minorHAnsi"/>
          <w:sz w:val="28"/>
          <w:szCs w:val="28"/>
        </w:rPr>
        <w:t>nn</w:t>
      </w:r>
      <w:proofErr w:type="spellEnd"/>
      <w:r w:rsidR="00C5138F" w:rsidRPr="00F71BB8">
        <w:rPr>
          <w:rStyle w:val="CharacterStyle2"/>
          <w:rFonts w:asciiTheme="minorHAnsi" w:hAnsiTheme="minorHAnsi" w:cstheme="minorHAnsi"/>
          <w:sz w:val="28"/>
          <w:szCs w:val="28"/>
        </w:rPr>
        <w:t>. 16484/2016, 9774/2010)</w:t>
      </w:r>
      <w:r w:rsidR="009C4D64" w:rsidRPr="00F71BB8">
        <w:rPr>
          <w:rStyle w:val="CharacterStyle2"/>
          <w:rFonts w:asciiTheme="minorHAnsi" w:hAnsiTheme="minorHAnsi" w:cstheme="minorHAnsi"/>
          <w:sz w:val="28"/>
          <w:szCs w:val="28"/>
        </w:rPr>
        <w:t>.</w:t>
      </w:r>
    </w:p>
    <w:p w14:paraId="7C9CCFC8" w14:textId="6808FB88" w:rsidR="009C4D64" w:rsidRPr="00F71BB8" w:rsidRDefault="00A61FD7" w:rsidP="009C4D64">
      <w:pPr>
        <w:pStyle w:val="Style3"/>
        <w:kinsoku w:val="0"/>
        <w:autoSpaceDE/>
        <w:autoSpaceDN/>
        <w:spacing w:before="0"/>
        <w:ind w:firstLine="0"/>
        <w:rPr>
          <w:rStyle w:val="CharacterStyle1"/>
          <w:rFonts w:asciiTheme="minorHAnsi" w:hAnsiTheme="minorHAnsi" w:cstheme="minorHAnsi"/>
          <w:sz w:val="28"/>
          <w:szCs w:val="28"/>
        </w:rPr>
      </w:pPr>
      <w:r>
        <w:rPr>
          <w:rStyle w:val="CharacterStyle1"/>
          <w:rFonts w:asciiTheme="minorHAnsi" w:hAnsiTheme="minorHAnsi" w:cstheme="minorHAnsi"/>
          <w:spacing w:val="-3"/>
          <w:sz w:val="28"/>
          <w:szCs w:val="28"/>
        </w:rPr>
        <w:t>I</w:t>
      </w:r>
      <w:r w:rsidR="00C5138F" w:rsidRPr="00F71BB8">
        <w:rPr>
          <w:rStyle w:val="CharacterStyle1"/>
          <w:rFonts w:asciiTheme="minorHAnsi" w:hAnsiTheme="minorHAnsi" w:cstheme="minorHAnsi"/>
          <w:spacing w:val="-3"/>
          <w:sz w:val="28"/>
          <w:szCs w:val="28"/>
        </w:rPr>
        <w:t xml:space="preserve">n tema di accertamenti fondati </w:t>
      </w:r>
      <w:r w:rsidR="00C5138F" w:rsidRPr="00F71BB8">
        <w:rPr>
          <w:rStyle w:val="CharacterStyle1"/>
          <w:rFonts w:asciiTheme="minorHAnsi" w:hAnsiTheme="minorHAnsi" w:cstheme="minorHAnsi"/>
          <w:spacing w:val="3"/>
          <w:sz w:val="28"/>
          <w:szCs w:val="28"/>
        </w:rPr>
        <w:t xml:space="preserve">sulle risultanze delle indagini sui conti correnti bancari, ai sensi degli artt. </w:t>
      </w:r>
      <w:r w:rsidR="00C5138F" w:rsidRPr="00F71BB8">
        <w:rPr>
          <w:rStyle w:val="CharacterStyle1"/>
          <w:rFonts w:asciiTheme="minorHAnsi" w:hAnsiTheme="minorHAnsi" w:cstheme="minorHAnsi"/>
          <w:spacing w:val="1"/>
          <w:sz w:val="28"/>
          <w:szCs w:val="28"/>
        </w:rPr>
        <w:t xml:space="preserve">32 del </w:t>
      </w:r>
      <w:r w:rsidR="009C4D64" w:rsidRPr="00F71BB8">
        <w:rPr>
          <w:rStyle w:val="CharacterStyle1"/>
          <w:rFonts w:asciiTheme="minorHAnsi" w:hAnsiTheme="minorHAnsi" w:cstheme="minorHAnsi"/>
          <w:spacing w:val="1"/>
          <w:sz w:val="28"/>
          <w:szCs w:val="28"/>
        </w:rPr>
        <w:t>D</w:t>
      </w:r>
      <w:r w:rsidR="00C5138F" w:rsidRPr="00F71BB8">
        <w:rPr>
          <w:rStyle w:val="CharacterStyle1"/>
          <w:rFonts w:asciiTheme="minorHAnsi" w:hAnsiTheme="minorHAnsi" w:cstheme="minorHAnsi"/>
          <w:spacing w:val="1"/>
          <w:sz w:val="28"/>
          <w:szCs w:val="28"/>
        </w:rPr>
        <w:t xml:space="preserve">.P.R. n. 600 del 1973 e 51 del </w:t>
      </w:r>
      <w:r w:rsidR="009C4D64" w:rsidRPr="00F71BB8">
        <w:rPr>
          <w:rStyle w:val="CharacterStyle1"/>
          <w:rFonts w:asciiTheme="minorHAnsi" w:hAnsiTheme="minorHAnsi" w:cstheme="minorHAnsi"/>
          <w:spacing w:val="1"/>
          <w:sz w:val="28"/>
          <w:szCs w:val="28"/>
        </w:rPr>
        <w:t>D</w:t>
      </w:r>
      <w:r w:rsidR="00C5138F" w:rsidRPr="00F71BB8">
        <w:rPr>
          <w:rStyle w:val="CharacterStyle1"/>
          <w:rFonts w:asciiTheme="minorHAnsi" w:hAnsiTheme="minorHAnsi" w:cstheme="minorHAnsi"/>
          <w:spacing w:val="1"/>
          <w:sz w:val="28"/>
          <w:szCs w:val="28"/>
        </w:rPr>
        <w:t xml:space="preserve">.P.R. n. 633 del 1972, l'onere del </w:t>
      </w:r>
      <w:r w:rsidR="00C5138F" w:rsidRPr="00F71BB8">
        <w:rPr>
          <w:rStyle w:val="CharacterStyle1"/>
          <w:rFonts w:asciiTheme="minorHAnsi" w:hAnsiTheme="minorHAnsi" w:cstheme="minorHAnsi"/>
          <w:spacing w:val="2"/>
          <w:sz w:val="28"/>
          <w:szCs w:val="28"/>
        </w:rPr>
        <w:t xml:space="preserve">contribuente di giustificare la provenienza e la destinazione degli importi </w:t>
      </w:r>
      <w:r w:rsidR="00C5138F" w:rsidRPr="00F71BB8">
        <w:rPr>
          <w:rStyle w:val="CharacterStyle1"/>
          <w:rFonts w:asciiTheme="minorHAnsi" w:hAnsiTheme="minorHAnsi" w:cstheme="minorHAnsi"/>
          <w:spacing w:val="-4"/>
          <w:sz w:val="28"/>
          <w:szCs w:val="28"/>
        </w:rPr>
        <w:t xml:space="preserve">movimentati sui conti correnti intestati a soggetti per i quali è fondatamente </w:t>
      </w:r>
      <w:r w:rsidR="00C5138F" w:rsidRPr="00F71BB8">
        <w:rPr>
          <w:rStyle w:val="CharacterStyle1"/>
          <w:rFonts w:asciiTheme="minorHAnsi" w:hAnsiTheme="minorHAnsi" w:cstheme="minorHAnsi"/>
          <w:sz w:val="28"/>
          <w:szCs w:val="28"/>
        </w:rPr>
        <w:t xml:space="preserve">ipotizzabile che abbiano messo il loro conto a sua disposizione non viola il </w:t>
      </w:r>
      <w:r w:rsidR="00C5138F" w:rsidRPr="00F71BB8">
        <w:rPr>
          <w:rStyle w:val="CharacterStyle1"/>
          <w:rFonts w:asciiTheme="minorHAnsi" w:hAnsiTheme="minorHAnsi" w:cstheme="minorHAnsi"/>
          <w:spacing w:val="-3"/>
          <w:sz w:val="28"/>
          <w:szCs w:val="28"/>
        </w:rPr>
        <w:t xml:space="preserve">principio </w:t>
      </w:r>
      <w:proofErr w:type="spellStart"/>
      <w:r w:rsidR="00C5138F" w:rsidRPr="00F71BB8">
        <w:rPr>
          <w:rStyle w:val="CharacterStyle1"/>
          <w:rFonts w:asciiTheme="minorHAnsi" w:hAnsiTheme="minorHAnsi" w:cstheme="minorHAnsi"/>
          <w:spacing w:val="-3"/>
          <w:w w:val="105"/>
          <w:sz w:val="28"/>
          <w:szCs w:val="28"/>
        </w:rPr>
        <w:t>praesumptum</w:t>
      </w:r>
      <w:proofErr w:type="spellEnd"/>
      <w:r w:rsidR="00C5138F" w:rsidRPr="00F71BB8">
        <w:rPr>
          <w:rStyle w:val="CharacterStyle1"/>
          <w:rFonts w:asciiTheme="minorHAnsi" w:hAnsiTheme="minorHAnsi" w:cstheme="minorHAnsi"/>
          <w:spacing w:val="-3"/>
          <w:w w:val="105"/>
          <w:sz w:val="28"/>
          <w:szCs w:val="28"/>
        </w:rPr>
        <w:t xml:space="preserve"> de </w:t>
      </w:r>
      <w:proofErr w:type="spellStart"/>
      <w:r w:rsidR="00C5138F" w:rsidRPr="00F71BB8">
        <w:rPr>
          <w:rStyle w:val="CharacterStyle1"/>
          <w:rFonts w:asciiTheme="minorHAnsi" w:hAnsiTheme="minorHAnsi" w:cstheme="minorHAnsi"/>
          <w:spacing w:val="-3"/>
          <w:w w:val="105"/>
          <w:sz w:val="28"/>
          <w:szCs w:val="28"/>
        </w:rPr>
        <w:t>praesumpto</w:t>
      </w:r>
      <w:proofErr w:type="spellEnd"/>
      <w:r w:rsidR="00C5138F" w:rsidRPr="00F71BB8">
        <w:rPr>
          <w:rStyle w:val="CharacterStyle1"/>
          <w:rFonts w:asciiTheme="minorHAnsi" w:hAnsiTheme="minorHAnsi" w:cstheme="minorHAnsi"/>
          <w:spacing w:val="-3"/>
          <w:w w:val="105"/>
          <w:sz w:val="28"/>
          <w:szCs w:val="28"/>
        </w:rPr>
        <w:t xml:space="preserve"> non </w:t>
      </w:r>
      <w:proofErr w:type="spellStart"/>
      <w:r w:rsidR="00C5138F" w:rsidRPr="00F71BB8">
        <w:rPr>
          <w:rStyle w:val="CharacterStyle1"/>
          <w:rFonts w:asciiTheme="minorHAnsi" w:hAnsiTheme="minorHAnsi" w:cstheme="minorHAnsi"/>
          <w:spacing w:val="-3"/>
          <w:w w:val="105"/>
          <w:sz w:val="28"/>
          <w:szCs w:val="28"/>
        </w:rPr>
        <w:t>admittitur</w:t>
      </w:r>
      <w:proofErr w:type="spellEnd"/>
      <w:r w:rsidR="00C5138F" w:rsidRPr="00F71BB8">
        <w:rPr>
          <w:rStyle w:val="CharacterStyle1"/>
          <w:rFonts w:asciiTheme="minorHAnsi" w:hAnsiTheme="minorHAnsi" w:cstheme="minorHAnsi"/>
          <w:i/>
          <w:iCs/>
          <w:spacing w:val="-3"/>
          <w:w w:val="105"/>
          <w:sz w:val="28"/>
          <w:szCs w:val="28"/>
        </w:rPr>
        <w:t xml:space="preserve"> </w:t>
      </w:r>
      <w:r w:rsidR="00C5138F" w:rsidRPr="00F71BB8">
        <w:rPr>
          <w:rStyle w:val="CharacterStyle1"/>
          <w:rFonts w:asciiTheme="minorHAnsi" w:hAnsiTheme="minorHAnsi" w:cstheme="minorHAnsi"/>
          <w:spacing w:val="-3"/>
          <w:sz w:val="28"/>
          <w:szCs w:val="28"/>
        </w:rPr>
        <w:t xml:space="preserve">(o divieto di doppie </w:t>
      </w:r>
      <w:r w:rsidR="00C5138F" w:rsidRPr="00F71BB8">
        <w:rPr>
          <w:rStyle w:val="CharacterStyle1"/>
          <w:rFonts w:asciiTheme="minorHAnsi" w:hAnsiTheme="minorHAnsi" w:cstheme="minorHAnsi"/>
          <w:sz w:val="28"/>
          <w:szCs w:val="28"/>
        </w:rPr>
        <w:t xml:space="preserve">presunzioni o divieto di presunzioni di secondo grado o a catena) sia perché </w:t>
      </w:r>
      <w:r w:rsidR="00C5138F" w:rsidRPr="00F71BB8">
        <w:rPr>
          <w:rStyle w:val="CharacterStyle1"/>
          <w:rFonts w:asciiTheme="minorHAnsi" w:hAnsiTheme="minorHAnsi" w:cstheme="minorHAnsi"/>
          <w:spacing w:val="3"/>
          <w:sz w:val="28"/>
          <w:szCs w:val="28"/>
        </w:rPr>
        <w:t xml:space="preserve">tale principio è, in realtà, inesistente, non essendo riconducibile agli artt. </w:t>
      </w:r>
      <w:r w:rsidR="00C5138F" w:rsidRPr="00F71BB8">
        <w:rPr>
          <w:rStyle w:val="CharacterStyle1"/>
          <w:rFonts w:asciiTheme="minorHAnsi" w:hAnsiTheme="minorHAnsi" w:cstheme="minorHAnsi"/>
          <w:spacing w:val="2"/>
          <w:sz w:val="28"/>
          <w:szCs w:val="28"/>
        </w:rPr>
        <w:t xml:space="preserve">2729 e 2697 c.c. né a </w:t>
      </w:r>
      <w:r w:rsidR="00C5138F" w:rsidRPr="00F71BB8">
        <w:rPr>
          <w:rStyle w:val="CharacterStyle1"/>
          <w:rFonts w:asciiTheme="minorHAnsi" w:hAnsiTheme="minorHAnsi" w:cstheme="minorHAnsi"/>
          <w:spacing w:val="2"/>
          <w:sz w:val="28"/>
          <w:szCs w:val="28"/>
        </w:rPr>
        <w:lastRenderedPageBreak/>
        <w:t xml:space="preserve">qualsiasi altra norma dell'ordinamento, sia perché, </w:t>
      </w:r>
      <w:r w:rsidR="00C5138F" w:rsidRPr="00F71BB8">
        <w:rPr>
          <w:rStyle w:val="CharacterStyle1"/>
          <w:rFonts w:asciiTheme="minorHAnsi" w:hAnsiTheme="minorHAnsi" w:cstheme="minorHAnsi"/>
          <w:spacing w:val="14"/>
          <w:sz w:val="28"/>
          <w:szCs w:val="28"/>
        </w:rPr>
        <w:t xml:space="preserve">anche qualora lo si volesse considerare esistente, esso atterrebbe </w:t>
      </w:r>
      <w:r w:rsidR="00C5138F" w:rsidRPr="00F71BB8">
        <w:rPr>
          <w:rStyle w:val="CharacterStyle1"/>
          <w:rFonts w:asciiTheme="minorHAnsi" w:hAnsiTheme="minorHAnsi" w:cstheme="minorHAnsi"/>
          <w:sz w:val="28"/>
          <w:szCs w:val="28"/>
        </w:rPr>
        <w:t xml:space="preserve">esclusivamente alla correlazione di una presunzione semplice con un'altra </w:t>
      </w:r>
      <w:r w:rsidR="00C5138F" w:rsidRPr="00F71BB8">
        <w:rPr>
          <w:rStyle w:val="CharacterStyle1"/>
          <w:rFonts w:asciiTheme="minorHAnsi" w:hAnsiTheme="minorHAnsi" w:cstheme="minorHAnsi"/>
          <w:spacing w:val="6"/>
          <w:sz w:val="28"/>
          <w:szCs w:val="28"/>
        </w:rPr>
        <w:t xml:space="preserve">presunzione semplice, ma non con una presunzione legale, sicché non </w:t>
      </w:r>
      <w:r w:rsidR="00C5138F" w:rsidRPr="00F71BB8">
        <w:rPr>
          <w:rStyle w:val="CharacterStyle1"/>
          <w:rFonts w:asciiTheme="minorHAnsi" w:hAnsiTheme="minorHAnsi" w:cstheme="minorHAnsi"/>
          <w:sz w:val="28"/>
          <w:szCs w:val="28"/>
        </w:rPr>
        <w:t>ricorrerebbe nel caso di specie (cfr. Cass. n. 15003/2017, 1898/2016)</w:t>
      </w:r>
      <w:r w:rsidR="009C4D64" w:rsidRPr="00F71BB8">
        <w:rPr>
          <w:rStyle w:val="CharacterStyle1"/>
          <w:rFonts w:asciiTheme="minorHAnsi" w:hAnsiTheme="minorHAnsi" w:cstheme="minorHAnsi"/>
          <w:sz w:val="28"/>
          <w:szCs w:val="28"/>
        </w:rPr>
        <w:t>.</w:t>
      </w:r>
    </w:p>
    <w:p w14:paraId="26DC21AC" w14:textId="1821B129" w:rsidR="00C5138F" w:rsidRPr="00750F2D" w:rsidRDefault="009C4D64" w:rsidP="009C4D64">
      <w:pPr>
        <w:pStyle w:val="Style3"/>
        <w:kinsoku w:val="0"/>
        <w:autoSpaceDE/>
        <w:autoSpaceDN/>
        <w:spacing w:before="0"/>
        <w:ind w:firstLine="0"/>
        <w:rPr>
          <w:rStyle w:val="CharacterStyle2"/>
          <w:rFonts w:asciiTheme="minorHAnsi" w:hAnsiTheme="minorHAnsi" w:cstheme="minorHAnsi"/>
          <w:b/>
          <w:bCs/>
          <w:sz w:val="28"/>
          <w:szCs w:val="28"/>
        </w:rPr>
      </w:pPr>
      <w:r w:rsidRPr="00F71BB8">
        <w:rPr>
          <w:rStyle w:val="CharacterStyle2"/>
          <w:rFonts w:asciiTheme="minorHAnsi" w:hAnsiTheme="minorHAnsi" w:cstheme="minorHAnsi"/>
          <w:spacing w:val="3"/>
          <w:sz w:val="28"/>
          <w:szCs w:val="28"/>
        </w:rPr>
        <w:t>I</w:t>
      </w:r>
      <w:r w:rsidR="00C5138F" w:rsidRPr="00F71BB8">
        <w:rPr>
          <w:rStyle w:val="CharacterStyle2"/>
          <w:rFonts w:asciiTheme="minorHAnsi" w:hAnsiTheme="minorHAnsi" w:cstheme="minorHAnsi"/>
          <w:spacing w:val="3"/>
          <w:sz w:val="28"/>
          <w:szCs w:val="28"/>
        </w:rPr>
        <w:t xml:space="preserve">n sede di rettifica e di accertamento d'ufficio delle imposte sui </w:t>
      </w:r>
      <w:r w:rsidR="00C5138F" w:rsidRPr="00F71BB8">
        <w:rPr>
          <w:rStyle w:val="CharacterStyle2"/>
          <w:rFonts w:asciiTheme="minorHAnsi" w:hAnsiTheme="minorHAnsi" w:cstheme="minorHAnsi"/>
          <w:spacing w:val="12"/>
          <w:sz w:val="28"/>
          <w:szCs w:val="28"/>
        </w:rPr>
        <w:t xml:space="preserve">redditi, ai sensi dell'art. 37, comma 3, del </w:t>
      </w:r>
      <w:r w:rsidRPr="00F71BB8">
        <w:rPr>
          <w:rStyle w:val="CharacterStyle2"/>
          <w:rFonts w:asciiTheme="minorHAnsi" w:hAnsiTheme="minorHAnsi" w:cstheme="minorHAnsi"/>
          <w:spacing w:val="12"/>
          <w:sz w:val="28"/>
          <w:szCs w:val="28"/>
        </w:rPr>
        <w:t>D</w:t>
      </w:r>
      <w:r w:rsidR="00C5138F" w:rsidRPr="00F71BB8">
        <w:rPr>
          <w:rStyle w:val="CharacterStyle2"/>
          <w:rFonts w:asciiTheme="minorHAnsi" w:hAnsiTheme="minorHAnsi" w:cstheme="minorHAnsi"/>
          <w:spacing w:val="12"/>
          <w:sz w:val="28"/>
          <w:szCs w:val="28"/>
        </w:rPr>
        <w:t xml:space="preserve">.P.R. n. 600 del 1973, </w:t>
      </w:r>
      <w:r w:rsidR="00C5138F" w:rsidRPr="00F71BB8">
        <w:rPr>
          <w:rStyle w:val="CharacterStyle2"/>
          <w:rFonts w:asciiTheme="minorHAnsi" w:hAnsiTheme="minorHAnsi" w:cstheme="minorHAnsi"/>
          <w:spacing w:val="-2"/>
          <w:sz w:val="28"/>
          <w:szCs w:val="28"/>
        </w:rPr>
        <w:t xml:space="preserve">l'utilizzazione dei dati risultanti dalle copie dei conti correnti bancari acquisiti </w:t>
      </w:r>
      <w:r w:rsidR="00C5138F" w:rsidRPr="00F71BB8">
        <w:rPr>
          <w:rStyle w:val="CharacterStyle2"/>
          <w:rFonts w:asciiTheme="minorHAnsi" w:hAnsiTheme="minorHAnsi" w:cstheme="minorHAnsi"/>
          <w:spacing w:val="-4"/>
          <w:sz w:val="28"/>
          <w:szCs w:val="28"/>
        </w:rPr>
        <w:t xml:space="preserve">dagli istituti di credito non può ritenersi, infatti, limitata, in caso di società di </w:t>
      </w:r>
      <w:r w:rsidR="00C5138F" w:rsidRPr="00F71BB8">
        <w:rPr>
          <w:rStyle w:val="CharacterStyle2"/>
          <w:rFonts w:asciiTheme="minorHAnsi" w:hAnsiTheme="minorHAnsi" w:cstheme="minorHAnsi"/>
          <w:spacing w:val="4"/>
          <w:sz w:val="28"/>
          <w:szCs w:val="28"/>
        </w:rPr>
        <w:t xml:space="preserve">capitali, ai conti formalmente intestati all'ente, ma riguarda anche quelli </w:t>
      </w:r>
      <w:r w:rsidR="00C5138F" w:rsidRPr="00F71BB8">
        <w:rPr>
          <w:rStyle w:val="CharacterStyle2"/>
          <w:rFonts w:asciiTheme="minorHAnsi" w:hAnsiTheme="minorHAnsi" w:cstheme="minorHAnsi"/>
          <w:spacing w:val="-2"/>
          <w:sz w:val="28"/>
          <w:szCs w:val="28"/>
        </w:rPr>
        <w:t xml:space="preserve">intestati ai soci, agli amministratori o ai procuratori generali, allorché risulti </w:t>
      </w:r>
      <w:r w:rsidR="00C5138F" w:rsidRPr="00F71BB8">
        <w:rPr>
          <w:rStyle w:val="CharacterStyle2"/>
          <w:rFonts w:asciiTheme="minorHAnsi" w:hAnsiTheme="minorHAnsi" w:cstheme="minorHAnsi"/>
          <w:spacing w:val="5"/>
          <w:sz w:val="28"/>
          <w:szCs w:val="28"/>
        </w:rPr>
        <w:t xml:space="preserve">provata dall'Amministrazione finanziaria, anche tramite presunzioni, la </w:t>
      </w:r>
      <w:r w:rsidR="00C5138F" w:rsidRPr="00F71BB8">
        <w:rPr>
          <w:rStyle w:val="CharacterStyle2"/>
          <w:rFonts w:asciiTheme="minorHAnsi" w:hAnsiTheme="minorHAnsi" w:cstheme="minorHAnsi"/>
          <w:spacing w:val="7"/>
          <w:sz w:val="28"/>
          <w:szCs w:val="28"/>
        </w:rPr>
        <w:t xml:space="preserve">natura fittizia dell'intestazione o, comunque, la sostanziale riferibilità </w:t>
      </w:r>
      <w:r w:rsidR="00C5138F" w:rsidRPr="00F71BB8">
        <w:rPr>
          <w:rStyle w:val="CharacterStyle2"/>
          <w:rFonts w:asciiTheme="minorHAnsi" w:hAnsiTheme="minorHAnsi" w:cstheme="minorHAnsi"/>
          <w:spacing w:val="1"/>
          <w:sz w:val="28"/>
          <w:szCs w:val="28"/>
        </w:rPr>
        <w:t>all'ente dei conti medesimi o di alcuni loro singoli dati, senza necessità d</w:t>
      </w:r>
      <w:r w:rsidR="00970553">
        <w:rPr>
          <w:rStyle w:val="CharacterStyle2"/>
          <w:rFonts w:asciiTheme="minorHAnsi" w:hAnsiTheme="minorHAnsi" w:cstheme="minorHAnsi"/>
          <w:spacing w:val="1"/>
          <w:sz w:val="28"/>
          <w:szCs w:val="28"/>
        </w:rPr>
        <w:t>i</w:t>
      </w:r>
      <w:r w:rsidR="00C5138F" w:rsidRPr="00F71BB8">
        <w:rPr>
          <w:rStyle w:val="CharacterStyle2"/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="00C5138F" w:rsidRPr="00F71BB8">
        <w:rPr>
          <w:rStyle w:val="CharacterStyle2"/>
          <w:rFonts w:asciiTheme="minorHAnsi" w:hAnsiTheme="minorHAnsi" w:cstheme="minorHAnsi"/>
          <w:spacing w:val="6"/>
          <w:sz w:val="28"/>
          <w:szCs w:val="28"/>
        </w:rPr>
        <w:t xml:space="preserve">provare altresì che tutte le movimentazioni di tali rapporti rispecchino </w:t>
      </w:r>
      <w:r w:rsidR="00C5138F" w:rsidRPr="00F71BB8">
        <w:rPr>
          <w:rStyle w:val="CharacterStyle2"/>
          <w:rFonts w:asciiTheme="minorHAnsi" w:hAnsiTheme="minorHAnsi" w:cstheme="minorHAnsi"/>
          <w:sz w:val="28"/>
          <w:szCs w:val="28"/>
        </w:rPr>
        <w:t xml:space="preserve">operazioni aziendali, atteso che, ai sensi dell'art. 32 del </w:t>
      </w:r>
      <w:r w:rsidRPr="00F71BB8">
        <w:rPr>
          <w:rStyle w:val="CharacterStyle2"/>
          <w:rFonts w:asciiTheme="minorHAnsi" w:hAnsiTheme="minorHAnsi" w:cstheme="minorHAnsi"/>
          <w:sz w:val="28"/>
          <w:szCs w:val="28"/>
        </w:rPr>
        <w:t>D</w:t>
      </w:r>
      <w:r w:rsidR="00C5138F" w:rsidRPr="00F71BB8">
        <w:rPr>
          <w:rStyle w:val="CharacterStyle2"/>
          <w:rFonts w:asciiTheme="minorHAnsi" w:hAnsiTheme="minorHAnsi" w:cstheme="minorHAnsi"/>
          <w:sz w:val="28"/>
          <w:szCs w:val="28"/>
        </w:rPr>
        <w:t xml:space="preserve">.P.R. n. 600 cit., </w:t>
      </w:r>
      <w:r w:rsidR="00C5138F" w:rsidRPr="00750F2D">
        <w:rPr>
          <w:rStyle w:val="CharacterStyle2"/>
          <w:rFonts w:asciiTheme="minorHAnsi" w:hAnsiTheme="minorHAnsi" w:cstheme="minorHAnsi"/>
          <w:b/>
          <w:bCs/>
          <w:spacing w:val="4"/>
          <w:sz w:val="28"/>
          <w:szCs w:val="28"/>
        </w:rPr>
        <w:t xml:space="preserve">incombe sulla società contribuente dimostrarne l'estraneità alla propria </w:t>
      </w:r>
      <w:r w:rsidR="00C5138F" w:rsidRPr="00750F2D">
        <w:rPr>
          <w:rStyle w:val="CharacterStyle2"/>
          <w:rFonts w:asciiTheme="minorHAnsi" w:hAnsiTheme="minorHAnsi" w:cstheme="minorHAnsi"/>
          <w:b/>
          <w:bCs/>
          <w:spacing w:val="1"/>
          <w:sz w:val="28"/>
          <w:szCs w:val="28"/>
        </w:rPr>
        <w:t>attività di impresa (cfr. Cass. n. 8112/2016)</w:t>
      </w:r>
      <w:r w:rsidRPr="00750F2D">
        <w:rPr>
          <w:rStyle w:val="CharacterStyle2"/>
          <w:rFonts w:asciiTheme="minorHAnsi" w:hAnsiTheme="minorHAnsi" w:cstheme="minorHAnsi"/>
          <w:b/>
          <w:bCs/>
          <w:spacing w:val="1"/>
          <w:sz w:val="28"/>
          <w:szCs w:val="28"/>
        </w:rPr>
        <w:t>.</w:t>
      </w:r>
    </w:p>
    <w:p w14:paraId="77138753" w14:textId="057F9DFB" w:rsidR="00C5138F" w:rsidRPr="00CF36B8" w:rsidRDefault="002D26B2" w:rsidP="004D7F77">
      <w:pPr>
        <w:pStyle w:val="Style1"/>
        <w:kinsoku w:val="0"/>
        <w:autoSpaceDE/>
        <w:autoSpaceDN/>
        <w:adjustRightInd/>
        <w:spacing w:line="360" w:lineRule="auto"/>
        <w:ind w:right="72"/>
        <w:jc w:val="both"/>
        <w:rPr>
          <w:rStyle w:val="CharacterStyle2"/>
          <w:rFonts w:asciiTheme="minorHAnsi" w:hAnsiTheme="minorHAnsi" w:cstheme="minorHAnsi"/>
          <w:b/>
          <w:bCs/>
          <w:sz w:val="28"/>
          <w:szCs w:val="28"/>
        </w:rPr>
      </w:pPr>
      <w:r w:rsidRPr="00CF36B8">
        <w:rPr>
          <w:rStyle w:val="CharacterStyle2"/>
          <w:rFonts w:asciiTheme="minorHAnsi" w:hAnsiTheme="minorHAnsi" w:cstheme="minorHAnsi"/>
          <w:b/>
          <w:bCs/>
          <w:spacing w:val="8"/>
          <w:sz w:val="28"/>
          <w:szCs w:val="28"/>
        </w:rPr>
        <w:t>I</w:t>
      </w:r>
      <w:r w:rsidR="00C5138F" w:rsidRPr="00CF36B8">
        <w:rPr>
          <w:rStyle w:val="CharacterStyle2"/>
          <w:rFonts w:asciiTheme="minorHAnsi" w:hAnsiTheme="minorHAnsi" w:cstheme="minorHAnsi"/>
          <w:b/>
          <w:bCs/>
          <w:spacing w:val="8"/>
          <w:sz w:val="28"/>
          <w:szCs w:val="28"/>
        </w:rPr>
        <w:t xml:space="preserve">n tema di accertamento, la mancanza </w:t>
      </w:r>
      <w:r w:rsidR="00C5138F" w:rsidRPr="00CF36B8">
        <w:rPr>
          <w:rStyle w:val="CharacterStyle2"/>
          <w:rFonts w:asciiTheme="minorHAnsi" w:hAnsiTheme="minorHAnsi" w:cstheme="minorHAnsi"/>
          <w:b/>
          <w:bCs/>
          <w:spacing w:val="-3"/>
          <w:sz w:val="28"/>
          <w:szCs w:val="28"/>
        </w:rPr>
        <w:t xml:space="preserve">di autorizzazione alle indagini bancarie rende le stesse illegittime ove si sia </w:t>
      </w:r>
      <w:r w:rsidR="00C5138F" w:rsidRPr="00CF36B8">
        <w:rPr>
          <w:rStyle w:val="CharacterStyle2"/>
          <w:rFonts w:asciiTheme="minorHAnsi" w:hAnsiTheme="minorHAnsi" w:cstheme="minorHAnsi"/>
          <w:b/>
          <w:bCs/>
          <w:spacing w:val="1"/>
          <w:sz w:val="28"/>
          <w:szCs w:val="28"/>
        </w:rPr>
        <w:t xml:space="preserve">tradotta in un concreto pregiudizio per il contribuente, in conformità alla </w:t>
      </w:r>
      <w:r w:rsidR="00C5138F" w:rsidRPr="00CF36B8">
        <w:rPr>
          <w:rStyle w:val="CharacterStyle2"/>
          <w:rFonts w:asciiTheme="minorHAnsi" w:hAnsiTheme="minorHAnsi" w:cstheme="minorHAnsi"/>
          <w:b/>
          <w:bCs/>
          <w:spacing w:val="7"/>
          <w:sz w:val="28"/>
          <w:szCs w:val="28"/>
        </w:rPr>
        <w:t xml:space="preserve">concezione sostanzialistica dell'interesse del privato alla legittimità del </w:t>
      </w:r>
      <w:r w:rsidR="00C5138F" w:rsidRPr="00CF36B8">
        <w:rPr>
          <w:rStyle w:val="CharacterStyle2"/>
          <w:rFonts w:asciiTheme="minorHAnsi" w:hAnsiTheme="minorHAnsi" w:cstheme="minorHAnsi"/>
          <w:b/>
          <w:bCs/>
          <w:spacing w:val="-1"/>
          <w:sz w:val="28"/>
          <w:szCs w:val="28"/>
        </w:rPr>
        <w:t xml:space="preserve">provvedimento amministrativo, espressa, in via generale, dall'art. 21 </w:t>
      </w:r>
      <w:proofErr w:type="spellStart"/>
      <w:r w:rsidR="00C5138F" w:rsidRPr="00CF36B8">
        <w:rPr>
          <w:rStyle w:val="CharacterStyle2"/>
          <w:rFonts w:asciiTheme="minorHAnsi" w:hAnsiTheme="minorHAnsi" w:cstheme="minorHAnsi"/>
          <w:b/>
          <w:bCs/>
          <w:spacing w:val="-1"/>
          <w:sz w:val="28"/>
          <w:szCs w:val="28"/>
        </w:rPr>
        <w:t>octies</w:t>
      </w:r>
      <w:proofErr w:type="spellEnd"/>
      <w:r w:rsidR="00C5138F" w:rsidRPr="00CF36B8">
        <w:rPr>
          <w:rStyle w:val="CharacterStyle2"/>
          <w:rFonts w:asciiTheme="minorHAnsi" w:hAnsiTheme="minorHAnsi" w:cstheme="minorHAnsi"/>
          <w:b/>
          <w:bCs/>
          <w:spacing w:val="-1"/>
          <w:sz w:val="28"/>
          <w:szCs w:val="28"/>
        </w:rPr>
        <w:t xml:space="preserve"> </w:t>
      </w:r>
      <w:r w:rsidR="00C5138F" w:rsidRPr="00CF36B8">
        <w:rPr>
          <w:rStyle w:val="CharacterStyle2"/>
          <w:rFonts w:asciiTheme="minorHAnsi" w:hAnsiTheme="minorHAnsi" w:cstheme="minorHAnsi"/>
          <w:b/>
          <w:bCs/>
          <w:sz w:val="28"/>
          <w:szCs w:val="28"/>
        </w:rPr>
        <w:t xml:space="preserve">della </w:t>
      </w:r>
      <w:r w:rsidR="00F71BB8" w:rsidRPr="00CF36B8">
        <w:rPr>
          <w:rStyle w:val="CharacterStyle2"/>
          <w:rFonts w:asciiTheme="minorHAnsi" w:hAnsiTheme="minorHAnsi" w:cstheme="minorHAnsi"/>
          <w:b/>
          <w:bCs/>
          <w:sz w:val="28"/>
          <w:szCs w:val="28"/>
        </w:rPr>
        <w:t>L</w:t>
      </w:r>
      <w:r w:rsidR="00C5138F" w:rsidRPr="00CF36B8">
        <w:rPr>
          <w:rStyle w:val="CharacterStyle2"/>
          <w:rFonts w:asciiTheme="minorHAnsi" w:hAnsiTheme="minorHAnsi" w:cstheme="minorHAnsi"/>
          <w:b/>
          <w:bCs/>
          <w:sz w:val="28"/>
          <w:szCs w:val="28"/>
        </w:rPr>
        <w:t>. n. 241 del 1990 (cfr. Cass. n. 9480/2018, 3628/2017)</w:t>
      </w:r>
      <w:r w:rsidR="005467FC" w:rsidRPr="00CF36B8">
        <w:rPr>
          <w:rStyle w:val="CharacterStyle2"/>
          <w:rFonts w:asciiTheme="minorHAnsi" w:hAnsiTheme="minorHAnsi" w:cstheme="minorHAnsi"/>
          <w:b/>
          <w:bCs/>
          <w:sz w:val="28"/>
          <w:szCs w:val="28"/>
        </w:rPr>
        <w:t>.</w:t>
      </w:r>
      <w:r w:rsidR="00C5138F" w:rsidRPr="00CF36B8">
        <w:rPr>
          <w:rStyle w:val="CharacterStyle2"/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1984CA07" w14:textId="77777777" w:rsidR="007775AA" w:rsidRDefault="00F96AC8" w:rsidP="004711B1">
      <w:pPr>
        <w:pStyle w:val="Style1"/>
        <w:kinsoku w:val="0"/>
        <w:autoSpaceDE/>
        <w:autoSpaceDN/>
        <w:adjustRightInd/>
        <w:spacing w:line="360" w:lineRule="auto"/>
        <w:ind w:right="72"/>
        <w:jc w:val="both"/>
        <w:rPr>
          <w:rStyle w:val="CharacterStyle2"/>
          <w:rFonts w:asciiTheme="minorHAnsi" w:hAnsiTheme="minorHAnsi" w:cstheme="minorHAnsi"/>
          <w:spacing w:val="-1"/>
          <w:sz w:val="28"/>
          <w:szCs w:val="28"/>
        </w:rPr>
      </w:pPr>
      <w:r>
        <w:rPr>
          <w:rStyle w:val="CharacterStyle2"/>
          <w:rFonts w:asciiTheme="minorHAnsi" w:hAnsiTheme="minorHAnsi" w:cstheme="minorHAnsi"/>
          <w:spacing w:val="5"/>
          <w:sz w:val="28"/>
          <w:szCs w:val="28"/>
        </w:rPr>
        <w:t>Infine, sul concetto di fatto notorio, la Corte di Cassazione ha c</w:t>
      </w:r>
      <w:r w:rsidR="00C5138F" w:rsidRPr="00F71BB8">
        <w:rPr>
          <w:rStyle w:val="CharacterStyle2"/>
          <w:rFonts w:asciiTheme="minorHAnsi" w:hAnsiTheme="minorHAnsi" w:cstheme="minorHAnsi"/>
          <w:spacing w:val="5"/>
          <w:sz w:val="28"/>
          <w:szCs w:val="28"/>
        </w:rPr>
        <w:t xml:space="preserve">ostantemente statuito che «il </w:t>
      </w:r>
      <w:r w:rsidR="00C5138F" w:rsidRPr="00F71BB8">
        <w:rPr>
          <w:rStyle w:val="CharacterStyle2"/>
          <w:rFonts w:asciiTheme="minorHAnsi" w:hAnsiTheme="minorHAnsi" w:cstheme="minorHAnsi"/>
          <w:spacing w:val="-4"/>
          <w:sz w:val="28"/>
          <w:szCs w:val="28"/>
        </w:rPr>
        <w:t xml:space="preserve">fatto notorio, derogando al principio dispositivo delle prove e al principio del </w:t>
      </w:r>
      <w:r w:rsidR="00C5138F" w:rsidRPr="00F71BB8">
        <w:rPr>
          <w:rStyle w:val="CharacterStyle2"/>
          <w:rFonts w:asciiTheme="minorHAnsi" w:hAnsiTheme="minorHAnsi" w:cstheme="minorHAnsi"/>
          <w:spacing w:val="-2"/>
          <w:sz w:val="28"/>
          <w:szCs w:val="28"/>
        </w:rPr>
        <w:t xml:space="preserve">contraddittorio, va inteso in senso rigoroso, e cioè come fatto acquisito alle </w:t>
      </w:r>
      <w:r w:rsidR="00C5138F" w:rsidRPr="00F71BB8">
        <w:rPr>
          <w:rStyle w:val="CharacterStyle2"/>
          <w:rFonts w:asciiTheme="minorHAnsi" w:hAnsiTheme="minorHAnsi" w:cstheme="minorHAnsi"/>
          <w:spacing w:val="12"/>
          <w:sz w:val="28"/>
          <w:szCs w:val="28"/>
        </w:rPr>
        <w:t xml:space="preserve">conoscenze della collettività con tale grado di certezza da apparire </w:t>
      </w:r>
      <w:r w:rsidR="00C5138F" w:rsidRPr="00F71BB8">
        <w:rPr>
          <w:rStyle w:val="CharacterStyle2"/>
          <w:rFonts w:asciiTheme="minorHAnsi" w:hAnsiTheme="minorHAnsi" w:cstheme="minorHAnsi"/>
          <w:spacing w:val="2"/>
          <w:sz w:val="28"/>
          <w:szCs w:val="28"/>
        </w:rPr>
        <w:lastRenderedPageBreak/>
        <w:t xml:space="preserve">incontestabile» (cfr. Cass. n. 5232/2008), ovvero che il ricorso alle nozioni </w:t>
      </w:r>
      <w:r w:rsidR="00C5138F" w:rsidRPr="00F71BB8">
        <w:rPr>
          <w:rStyle w:val="CharacterStyle2"/>
          <w:rFonts w:asciiTheme="minorHAnsi" w:hAnsiTheme="minorHAnsi" w:cstheme="minorHAnsi"/>
          <w:spacing w:val="-1"/>
          <w:sz w:val="28"/>
          <w:szCs w:val="28"/>
        </w:rPr>
        <w:t xml:space="preserve">di comune esperienza (fatto notorio), comportando una deroga al principio </w:t>
      </w:r>
      <w:r w:rsidR="00C5138F" w:rsidRPr="00F71BB8">
        <w:rPr>
          <w:rStyle w:val="CharacterStyle2"/>
          <w:rFonts w:asciiTheme="minorHAnsi" w:hAnsiTheme="minorHAnsi" w:cstheme="minorHAnsi"/>
          <w:spacing w:val="4"/>
          <w:sz w:val="28"/>
          <w:szCs w:val="28"/>
        </w:rPr>
        <w:t xml:space="preserve">dispositivo ed al contraddittorio, in quanto introduce nel processo civile </w:t>
      </w:r>
      <w:r w:rsidR="00C5138F" w:rsidRPr="00F71BB8">
        <w:rPr>
          <w:rStyle w:val="CharacterStyle2"/>
          <w:rFonts w:asciiTheme="minorHAnsi" w:hAnsiTheme="minorHAnsi" w:cstheme="minorHAnsi"/>
          <w:spacing w:val="2"/>
          <w:sz w:val="28"/>
          <w:szCs w:val="28"/>
        </w:rPr>
        <w:t xml:space="preserve">prove non fornite dalle parti e relative a fatti dalle stesse non vagliati né </w:t>
      </w:r>
      <w:r w:rsidR="00C5138F" w:rsidRPr="00F71BB8">
        <w:rPr>
          <w:rStyle w:val="CharacterStyle2"/>
          <w:rFonts w:asciiTheme="minorHAnsi" w:hAnsiTheme="minorHAnsi" w:cstheme="minorHAnsi"/>
          <w:spacing w:val="5"/>
          <w:sz w:val="28"/>
          <w:szCs w:val="28"/>
        </w:rPr>
        <w:t xml:space="preserve">controllati, va inteso in senso rigoroso, e cioè come fatto acquisito alle </w:t>
      </w:r>
      <w:r w:rsidR="00C5138F" w:rsidRPr="00F71BB8">
        <w:rPr>
          <w:rStyle w:val="CharacterStyle2"/>
          <w:rFonts w:asciiTheme="minorHAnsi" w:hAnsiTheme="minorHAnsi" w:cstheme="minorHAnsi"/>
          <w:spacing w:val="15"/>
          <w:sz w:val="28"/>
          <w:szCs w:val="28"/>
        </w:rPr>
        <w:t xml:space="preserve">conoscenze della collettività con tale grado di certezza da apparire </w:t>
      </w:r>
      <w:r w:rsidR="00C5138F" w:rsidRPr="00F71BB8">
        <w:rPr>
          <w:rStyle w:val="CharacterStyle2"/>
          <w:rFonts w:asciiTheme="minorHAnsi" w:hAnsiTheme="minorHAnsi" w:cstheme="minorHAnsi"/>
          <w:spacing w:val="-1"/>
          <w:sz w:val="28"/>
          <w:szCs w:val="28"/>
        </w:rPr>
        <w:t>indubitabile ed incontestabile</w:t>
      </w:r>
      <w:r w:rsidR="007775AA">
        <w:rPr>
          <w:rStyle w:val="CharacterStyle2"/>
          <w:rFonts w:asciiTheme="minorHAnsi" w:hAnsiTheme="minorHAnsi" w:cstheme="minorHAnsi"/>
          <w:spacing w:val="-1"/>
          <w:sz w:val="28"/>
          <w:szCs w:val="28"/>
        </w:rPr>
        <w:t>.</w:t>
      </w:r>
    </w:p>
    <w:p w14:paraId="59A23EB4" w14:textId="385F531F" w:rsidR="00C5138F" w:rsidRPr="008E078A" w:rsidRDefault="007775AA" w:rsidP="004711B1">
      <w:pPr>
        <w:pStyle w:val="Style1"/>
        <w:kinsoku w:val="0"/>
        <w:autoSpaceDE/>
        <w:autoSpaceDN/>
        <w:adjustRightInd/>
        <w:spacing w:line="360" w:lineRule="auto"/>
        <w:ind w:right="72"/>
        <w:jc w:val="both"/>
        <w:rPr>
          <w:rStyle w:val="CharacterStyle2"/>
          <w:rFonts w:asciiTheme="minorHAnsi" w:hAnsiTheme="minorHAnsi" w:cstheme="minorHAnsi"/>
          <w:b/>
          <w:bCs/>
          <w:sz w:val="28"/>
          <w:szCs w:val="28"/>
        </w:rPr>
      </w:pPr>
      <w:r w:rsidRPr="008E078A">
        <w:rPr>
          <w:rStyle w:val="CharacterStyle2"/>
          <w:rFonts w:asciiTheme="minorHAnsi" w:hAnsiTheme="minorHAnsi" w:cstheme="minorHAnsi"/>
          <w:b/>
          <w:bCs/>
          <w:spacing w:val="-1"/>
          <w:sz w:val="28"/>
          <w:szCs w:val="28"/>
        </w:rPr>
        <w:t>A</w:t>
      </w:r>
      <w:r w:rsidR="00C5138F" w:rsidRPr="008E078A">
        <w:rPr>
          <w:rStyle w:val="CharacterStyle2"/>
          <w:rFonts w:asciiTheme="minorHAnsi" w:hAnsiTheme="minorHAnsi" w:cstheme="minorHAnsi"/>
          <w:b/>
          <w:bCs/>
          <w:spacing w:val="-1"/>
          <w:sz w:val="28"/>
          <w:szCs w:val="28"/>
        </w:rPr>
        <w:t xml:space="preserve">l che consegue che restano estranei a tale </w:t>
      </w:r>
      <w:r w:rsidR="00C5138F" w:rsidRPr="008E078A">
        <w:rPr>
          <w:rStyle w:val="CharacterStyle2"/>
          <w:rFonts w:asciiTheme="minorHAnsi" w:hAnsiTheme="minorHAnsi" w:cstheme="minorHAnsi"/>
          <w:b/>
          <w:bCs/>
          <w:spacing w:val="2"/>
          <w:sz w:val="28"/>
          <w:szCs w:val="28"/>
        </w:rPr>
        <w:t xml:space="preserve">nozione le acquisizioni specifiche di natura tecnica, gli elementi valutativi </w:t>
      </w:r>
      <w:r w:rsidR="00C5138F" w:rsidRPr="008E078A">
        <w:rPr>
          <w:rStyle w:val="CharacterStyle2"/>
          <w:rFonts w:asciiTheme="minorHAnsi" w:hAnsiTheme="minorHAnsi" w:cstheme="minorHAnsi"/>
          <w:b/>
          <w:bCs/>
          <w:spacing w:val="1"/>
          <w:sz w:val="28"/>
          <w:szCs w:val="28"/>
        </w:rPr>
        <w:t xml:space="preserve">che implicano cognizioni particolari o richiedono il preventivo accertamento </w:t>
      </w:r>
      <w:r w:rsidR="00C5138F" w:rsidRPr="008E078A">
        <w:rPr>
          <w:rStyle w:val="CharacterStyle2"/>
          <w:rFonts w:asciiTheme="minorHAnsi" w:hAnsiTheme="minorHAnsi" w:cstheme="minorHAnsi"/>
          <w:b/>
          <w:bCs/>
          <w:sz w:val="28"/>
          <w:szCs w:val="28"/>
        </w:rPr>
        <w:t xml:space="preserve">di particolari dati, nonché quelle nozioni che rientrano nella scienza privata </w:t>
      </w:r>
      <w:r w:rsidR="00C5138F" w:rsidRPr="008E078A">
        <w:rPr>
          <w:rStyle w:val="CharacterStyle2"/>
          <w:rFonts w:asciiTheme="minorHAnsi" w:hAnsiTheme="minorHAnsi" w:cstheme="minorHAnsi"/>
          <w:b/>
          <w:bCs/>
          <w:spacing w:val="5"/>
          <w:sz w:val="28"/>
          <w:szCs w:val="28"/>
        </w:rPr>
        <w:t xml:space="preserve">del giudice, poiché questa, in quanto non universale, non rientra nella </w:t>
      </w:r>
      <w:r w:rsidR="00C5138F" w:rsidRPr="008E078A">
        <w:rPr>
          <w:rStyle w:val="CharacterStyle2"/>
          <w:rFonts w:asciiTheme="minorHAnsi" w:hAnsiTheme="minorHAnsi" w:cstheme="minorHAnsi"/>
          <w:b/>
          <w:bCs/>
          <w:spacing w:val="3"/>
          <w:sz w:val="28"/>
          <w:szCs w:val="28"/>
        </w:rPr>
        <w:t xml:space="preserve">categoria del notorio, neppure quando derivi al </w:t>
      </w:r>
      <w:r w:rsidR="00E8593F" w:rsidRPr="008E078A">
        <w:rPr>
          <w:rStyle w:val="CharacterStyle2"/>
          <w:rFonts w:asciiTheme="minorHAnsi" w:hAnsiTheme="minorHAnsi" w:cstheme="minorHAnsi"/>
          <w:b/>
          <w:bCs/>
          <w:spacing w:val="3"/>
          <w:sz w:val="28"/>
          <w:szCs w:val="28"/>
        </w:rPr>
        <w:t>g</w:t>
      </w:r>
      <w:r w:rsidR="00C5138F" w:rsidRPr="008E078A">
        <w:rPr>
          <w:rStyle w:val="CharacterStyle2"/>
          <w:rFonts w:asciiTheme="minorHAnsi" w:hAnsiTheme="minorHAnsi" w:cstheme="minorHAnsi"/>
          <w:b/>
          <w:bCs/>
          <w:spacing w:val="3"/>
          <w:sz w:val="28"/>
          <w:szCs w:val="28"/>
        </w:rPr>
        <w:t xml:space="preserve">iudice medesimo dalla </w:t>
      </w:r>
      <w:r w:rsidR="00C5138F" w:rsidRPr="008E078A">
        <w:rPr>
          <w:rStyle w:val="CharacterStyle2"/>
          <w:rFonts w:asciiTheme="minorHAnsi" w:hAnsiTheme="minorHAnsi" w:cstheme="minorHAnsi"/>
          <w:b/>
          <w:bCs/>
          <w:sz w:val="28"/>
          <w:szCs w:val="28"/>
        </w:rPr>
        <w:t>pregressa trattazione d'analoghe controversie (cfr. Cass. n. 6299/2014</w:t>
      </w:r>
      <w:r w:rsidR="00F7118E" w:rsidRPr="008E078A">
        <w:rPr>
          <w:rStyle w:val="CharacterStyle2"/>
          <w:rFonts w:asciiTheme="minorHAnsi" w:hAnsiTheme="minorHAnsi" w:cstheme="minorHAnsi"/>
          <w:b/>
          <w:bCs/>
          <w:sz w:val="28"/>
          <w:szCs w:val="28"/>
        </w:rPr>
        <w:t>; da ultimo, Corte di Cassazione – Sesta Sezione Civile – ordinanza n. 23546 depositata il 20 settembre 2019</w:t>
      </w:r>
      <w:r w:rsidR="00057A68">
        <w:rPr>
          <w:rStyle w:val="CharacterStyle2"/>
          <w:rFonts w:asciiTheme="minorHAnsi" w:hAnsiTheme="minorHAnsi" w:cstheme="minorHAnsi"/>
          <w:b/>
          <w:bCs/>
          <w:sz w:val="28"/>
          <w:szCs w:val="28"/>
        </w:rPr>
        <w:t>)</w:t>
      </w:r>
      <w:r w:rsidR="00F7118E" w:rsidRPr="008E078A">
        <w:rPr>
          <w:rStyle w:val="CharacterStyle2"/>
          <w:rFonts w:asciiTheme="minorHAnsi" w:hAnsiTheme="minorHAnsi" w:cstheme="minorHAnsi"/>
          <w:b/>
          <w:bCs/>
          <w:sz w:val="28"/>
          <w:szCs w:val="28"/>
        </w:rPr>
        <w:t>.</w:t>
      </w:r>
    </w:p>
    <w:p w14:paraId="4EFBFC18" w14:textId="5C8695E6" w:rsidR="00C5138F" w:rsidRPr="00F04277" w:rsidRDefault="00F04277" w:rsidP="00F71BB8">
      <w:pPr>
        <w:pStyle w:val="Style1"/>
        <w:kinsoku w:val="0"/>
        <w:autoSpaceDE/>
        <w:autoSpaceDN/>
        <w:adjustRightInd/>
        <w:spacing w:line="360" w:lineRule="auto"/>
        <w:ind w:right="72"/>
        <w:jc w:val="both"/>
        <w:rPr>
          <w:rStyle w:val="CharacterStyle2"/>
          <w:rFonts w:asciiTheme="minorHAnsi" w:hAnsiTheme="minorHAnsi" w:cstheme="minorHAnsi"/>
          <w:b/>
          <w:bCs/>
          <w:spacing w:val="7"/>
          <w:sz w:val="28"/>
          <w:szCs w:val="28"/>
        </w:rPr>
      </w:pPr>
      <w:r>
        <w:rPr>
          <w:rStyle w:val="CharacterStyle2"/>
          <w:rFonts w:asciiTheme="minorHAnsi" w:hAnsiTheme="minorHAnsi" w:cstheme="minorHAnsi"/>
          <w:b/>
          <w:bCs/>
          <w:spacing w:val="7"/>
          <w:sz w:val="28"/>
          <w:szCs w:val="28"/>
        </w:rPr>
        <w:t xml:space="preserve">Lecce, </w:t>
      </w:r>
      <w:r w:rsidR="004B3728">
        <w:rPr>
          <w:rStyle w:val="CharacterStyle2"/>
          <w:rFonts w:asciiTheme="minorHAnsi" w:hAnsiTheme="minorHAnsi" w:cstheme="minorHAnsi"/>
          <w:b/>
          <w:bCs/>
          <w:spacing w:val="7"/>
          <w:sz w:val="28"/>
          <w:szCs w:val="28"/>
        </w:rPr>
        <w:t>18</w:t>
      </w:r>
      <w:r>
        <w:rPr>
          <w:rStyle w:val="CharacterStyle2"/>
          <w:rFonts w:asciiTheme="minorHAnsi" w:hAnsiTheme="minorHAnsi" w:cstheme="minorHAnsi"/>
          <w:b/>
          <w:bCs/>
          <w:spacing w:val="7"/>
          <w:sz w:val="28"/>
          <w:szCs w:val="28"/>
        </w:rPr>
        <w:t xml:space="preserve"> </w:t>
      </w:r>
      <w:r w:rsidR="004B3728">
        <w:rPr>
          <w:rStyle w:val="CharacterStyle2"/>
          <w:rFonts w:asciiTheme="minorHAnsi" w:hAnsiTheme="minorHAnsi" w:cstheme="minorHAnsi"/>
          <w:b/>
          <w:bCs/>
          <w:spacing w:val="7"/>
          <w:sz w:val="28"/>
          <w:szCs w:val="28"/>
        </w:rPr>
        <w:t>gennaio</w:t>
      </w:r>
      <w:r>
        <w:rPr>
          <w:rStyle w:val="CharacterStyle2"/>
          <w:rFonts w:asciiTheme="minorHAnsi" w:hAnsiTheme="minorHAnsi" w:cstheme="minorHAnsi"/>
          <w:b/>
          <w:bCs/>
          <w:spacing w:val="7"/>
          <w:sz w:val="28"/>
          <w:szCs w:val="28"/>
        </w:rPr>
        <w:t xml:space="preserve"> 20</w:t>
      </w:r>
      <w:r w:rsidR="004B3728">
        <w:rPr>
          <w:rStyle w:val="CharacterStyle2"/>
          <w:rFonts w:asciiTheme="minorHAnsi" w:hAnsiTheme="minorHAnsi" w:cstheme="minorHAnsi"/>
          <w:b/>
          <w:bCs/>
          <w:spacing w:val="7"/>
          <w:sz w:val="28"/>
          <w:szCs w:val="28"/>
        </w:rPr>
        <w:t>20</w:t>
      </w:r>
    </w:p>
    <w:p w14:paraId="3402F472" w14:textId="77777777" w:rsidR="00C5138F" w:rsidRPr="00F71BB8" w:rsidRDefault="00C5138F" w:rsidP="00F71BB8">
      <w:pPr>
        <w:pStyle w:val="Style1"/>
        <w:kinsoku w:val="0"/>
        <w:autoSpaceDE/>
        <w:autoSpaceDN/>
        <w:adjustRightInd/>
        <w:spacing w:line="360" w:lineRule="auto"/>
        <w:ind w:right="72"/>
        <w:jc w:val="both"/>
        <w:rPr>
          <w:rStyle w:val="CharacterStyle2"/>
          <w:rFonts w:asciiTheme="minorHAnsi" w:hAnsiTheme="minorHAnsi" w:cstheme="minorHAnsi"/>
          <w:spacing w:val="4"/>
          <w:sz w:val="28"/>
          <w:szCs w:val="28"/>
        </w:rPr>
      </w:pPr>
    </w:p>
    <w:p w14:paraId="70687714" w14:textId="77777777" w:rsidR="00C5138F" w:rsidRPr="00F71BB8" w:rsidRDefault="00C5138F" w:rsidP="00F71BB8">
      <w:pPr>
        <w:pStyle w:val="Style1"/>
        <w:kinsoku w:val="0"/>
        <w:autoSpaceDE/>
        <w:autoSpaceDN/>
        <w:adjustRightInd/>
        <w:spacing w:line="360" w:lineRule="auto"/>
        <w:ind w:right="72"/>
        <w:jc w:val="both"/>
        <w:rPr>
          <w:rStyle w:val="CharacterStyle2"/>
          <w:rFonts w:asciiTheme="minorHAnsi" w:hAnsiTheme="minorHAnsi" w:cstheme="minorHAnsi"/>
          <w:spacing w:val="7"/>
          <w:sz w:val="28"/>
          <w:szCs w:val="28"/>
        </w:rPr>
      </w:pPr>
    </w:p>
    <w:p w14:paraId="2B3A692A" w14:textId="77777777" w:rsidR="00F04277" w:rsidRPr="00F04277" w:rsidRDefault="00F04277" w:rsidP="00F04277">
      <w:pPr>
        <w:spacing w:after="0" w:line="240" w:lineRule="auto"/>
        <w:ind w:left="-1530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F0427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AVV. MAURIZIO VILLANI</w:t>
      </w:r>
    </w:p>
    <w:p w14:paraId="7AE14167" w14:textId="77777777" w:rsidR="00F04277" w:rsidRPr="00F04277" w:rsidRDefault="00F04277" w:rsidP="00F04277">
      <w:pPr>
        <w:keepNext/>
        <w:spacing w:after="0" w:line="240" w:lineRule="auto"/>
        <w:ind w:left="-1530"/>
        <w:jc w:val="center"/>
        <w:outlineLvl w:val="5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F0427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Avvocato Tributarista in Lecce</w:t>
      </w:r>
    </w:p>
    <w:p w14:paraId="2E9701C2" w14:textId="77777777" w:rsidR="00F04277" w:rsidRPr="00F04277" w:rsidRDefault="00F04277" w:rsidP="00F042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F04277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                                    Patrocinante in Cassazione</w:t>
      </w:r>
    </w:p>
    <w:p w14:paraId="722B3455" w14:textId="77777777" w:rsidR="00F04277" w:rsidRPr="00F04277" w:rsidRDefault="009E33DA" w:rsidP="00F04277">
      <w:pPr>
        <w:spacing w:after="0" w:line="240" w:lineRule="auto"/>
        <w:ind w:left="-1530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hyperlink r:id="rId6" w:history="1">
        <w:r w:rsidR="00F04277" w:rsidRPr="00F04277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it-IT"/>
          </w:rPr>
          <w:t>www.studiotributariovillani.it</w:t>
        </w:r>
      </w:hyperlink>
      <w:r w:rsidR="00F04277" w:rsidRPr="00F0427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- e-mail </w:t>
      </w:r>
      <w:hyperlink r:id="rId7" w:history="1">
        <w:r w:rsidR="00F04277" w:rsidRPr="00F04277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it-IT"/>
          </w:rPr>
          <w:t>avvocato@studiotributariovillani.it</w:t>
        </w:r>
      </w:hyperlink>
    </w:p>
    <w:p w14:paraId="7E839E4E" w14:textId="77777777" w:rsidR="00F04277" w:rsidRPr="00F04277" w:rsidRDefault="00F04277" w:rsidP="00F042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2AD26E9" w14:textId="77777777" w:rsidR="000C7A9C" w:rsidRPr="00F71BB8" w:rsidRDefault="000C7A9C" w:rsidP="00F04277">
      <w:pPr>
        <w:spacing w:after="0" w:line="360" w:lineRule="auto"/>
        <w:jc w:val="center"/>
        <w:rPr>
          <w:rFonts w:cstheme="minorHAnsi"/>
          <w:sz w:val="28"/>
          <w:szCs w:val="28"/>
        </w:rPr>
      </w:pPr>
    </w:p>
    <w:sectPr w:rsidR="000C7A9C" w:rsidRPr="00F71BB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ABD79" w14:textId="77777777" w:rsidR="009E33DA" w:rsidRDefault="009E33DA" w:rsidP="004F1B73">
      <w:pPr>
        <w:spacing w:after="0" w:line="240" w:lineRule="auto"/>
      </w:pPr>
      <w:r>
        <w:separator/>
      </w:r>
    </w:p>
  </w:endnote>
  <w:endnote w:type="continuationSeparator" w:id="0">
    <w:p w14:paraId="7E8917F7" w14:textId="77777777" w:rsidR="009E33DA" w:rsidRDefault="009E33DA" w:rsidP="004F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3602028"/>
      <w:docPartObj>
        <w:docPartGallery w:val="Page Numbers (Bottom of Page)"/>
        <w:docPartUnique/>
      </w:docPartObj>
    </w:sdtPr>
    <w:sdtEndPr/>
    <w:sdtContent>
      <w:p w14:paraId="07A63211" w14:textId="77777777" w:rsidR="004F1B73" w:rsidRDefault="004F1B7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DB7280" w14:textId="77777777" w:rsidR="004F1B73" w:rsidRDefault="004F1B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424BE" w14:textId="77777777" w:rsidR="009E33DA" w:rsidRDefault="009E33DA" w:rsidP="004F1B73">
      <w:pPr>
        <w:spacing w:after="0" w:line="240" w:lineRule="auto"/>
      </w:pPr>
      <w:r>
        <w:separator/>
      </w:r>
    </w:p>
  </w:footnote>
  <w:footnote w:type="continuationSeparator" w:id="0">
    <w:p w14:paraId="55049A85" w14:textId="77777777" w:rsidR="009E33DA" w:rsidRDefault="009E33DA" w:rsidP="004F1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38F"/>
    <w:rsid w:val="00057A68"/>
    <w:rsid w:val="00085AED"/>
    <w:rsid w:val="000C7A9C"/>
    <w:rsid w:val="0014148E"/>
    <w:rsid w:val="00174B50"/>
    <w:rsid w:val="001C3811"/>
    <w:rsid w:val="00244694"/>
    <w:rsid w:val="00273502"/>
    <w:rsid w:val="002B5925"/>
    <w:rsid w:val="002D26B2"/>
    <w:rsid w:val="00371D56"/>
    <w:rsid w:val="00445324"/>
    <w:rsid w:val="00451BE5"/>
    <w:rsid w:val="004711B1"/>
    <w:rsid w:val="004B3728"/>
    <w:rsid w:val="004D7F77"/>
    <w:rsid w:val="004F1B73"/>
    <w:rsid w:val="005467FC"/>
    <w:rsid w:val="00750F2D"/>
    <w:rsid w:val="007775AA"/>
    <w:rsid w:val="008E078A"/>
    <w:rsid w:val="00970553"/>
    <w:rsid w:val="009C4D64"/>
    <w:rsid w:val="009E33DA"/>
    <w:rsid w:val="009F0A72"/>
    <w:rsid w:val="00A61FD7"/>
    <w:rsid w:val="00BD5AF9"/>
    <w:rsid w:val="00C5138F"/>
    <w:rsid w:val="00CF36B8"/>
    <w:rsid w:val="00D05E53"/>
    <w:rsid w:val="00D1400F"/>
    <w:rsid w:val="00DC02D1"/>
    <w:rsid w:val="00E8593F"/>
    <w:rsid w:val="00F04277"/>
    <w:rsid w:val="00F559A5"/>
    <w:rsid w:val="00F7118E"/>
    <w:rsid w:val="00F71BB8"/>
    <w:rsid w:val="00F916A1"/>
    <w:rsid w:val="00F9181F"/>
    <w:rsid w:val="00F9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E7FA"/>
  <w15:chartTrackingRefBased/>
  <w15:docId w15:val="{7CBB07E0-C756-4414-99EB-B9B8900F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rsid w:val="00C513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customStyle="1" w:styleId="Style3">
    <w:name w:val="Style 3"/>
    <w:basedOn w:val="Normale"/>
    <w:uiPriority w:val="99"/>
    <w:rsid w:val="00C5138F"/>
    <w:pPr>
      <w:widowControl w:val="0"/>
      <w:autoSpaceDE w:val="0"/>
      <w:autoSpaceDN w:val="0"/>
      <w:spacing w:before="108" w:after="0" w:line="360" w:lineRule="auto"/>
      <w:ind w:right="72" w:firstLine="504"/>
      <w:jc w:val="both"/>
    </w:pPr>
    <w:rPr>
      <w:rFonts w:ascii="Verdana" w:eastAsiaTheme="minorEastAsia" w:hAnsi="Verdana" w:cs="Verdana"/>
      <w:lang w:eastAsia="it-IT"/>
    </w:rPr>
  </w:style>
  <w:style w:type="character" w:customStyle="1" w:styleId="CharacterStyle1">
    <w:name w:val="Character Style 1"/>
    <w:uiPriority w:val="99"/>
    <w:rsid w:val="00C5138F"/>
    <w:rPr>
      <w:rFonts w:ascii="Verdana" w:hAnsi="Verdana" w:cs="Verdana"/>
      <w:sz w:val="22"/>
      <w:szCs w:val="22"/>
    </w:rPr>
  </w:style>
  <w:style w:type="character" w:customStyle="1" w:styleId="CharacterStyle2">
    <w:name w:val="Character Style 2"/>
    <w:uiPriority w:val="99"/>
    <w:rsid w:val="00C5138F"/>
    <w:rPr>
      <w:sz w:val="20"/>
      <w:szCs w:val="20"/>
    </w:rPr>
  </w:style>
  <w:style w:type="paragraph" w:customStyle="1" w:styleId="Style2">
    <w:name w:val="Style 2"/>
    <w:basedOn w:val="Normale"/>
    <w:uiPriority w:val="99"/>
    <w:rsid w:val="00C5138F"/>
    <w:pPr>
      <w:widowControl w:val="0"/>
      <w:autoSpaceDE w:val="0"/>
      <w:autoSpaceDN w:val="0"/>
      <w:spacing w:before="324" w:after="0" w:line="240" w:lineRule="auto"/>
      <w:ind w:left="1368"/>
    </w:pPr>
    <w:rPr>
      <w:rFonts w:ascii="Verdana" w:eastAsiaTheme="minorEastAsia" w:hAnsi="Verdana" w:cs="Verdan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F1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1B73"/>
  </w:style>
  <w:style w:type="paragraph" w:styleId="Pidipagina">
    <w:name w:val="footer"/>
    <w:basedOn w:val="Normale"/>
    <w:link w:val="PidipaginaCarattere"/>
    <w:uiPriority w:val="99"/>
    <w:unhideWhenUsed/>
    <w:rsid w:val="004F1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1B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vvocato@studiotributariovillan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iotributariovillani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Faggiano</dc:creator>
  <cp:keywords/>
  <dc:description/>
  <cp:lastModifiedBy>utente</cp:lastModifiedBy>
  <cp:revision>2</cp:revision>
  <cp:lastPrinted>2020-01-18T08:25:00Z</cp:lastPrinted>
  <dcterms:created xsi:type="dcterms:W3CDTF">2020-01-20T08:32:00Z</dcterms:created>
  <dcterms:modified xsi:type="dcterms:W3CDTF">2020-01-20T08:32:00Z</dcterms:modified>
</cp:coreProperties>
</file>