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A254F" w14:textId="3EA6E751" w:rsidR="00834D26" w:rsidRPr="00D46515" w:rsidRDefault="009A61F1" w:rsidP="00834D26">
      <w:pPr>
        <w:spacing w:after="0" w:line="360" w:lineRule="auto"/>
        <w:ind w:left="72"/>
        <w:jc w:val="center"/>
        <w:rPr>
          <w:rFonts w:ascii="Times New Roman" w:hAnsi="Times New Roman" w:cs="Times New Roman"/>
          <w:b/>
          <w:bCs/>
          <w:sz w:val="40"/>
          <w:szCs w:val="40"/>
        </w:rPr>
      </w:pPr>
      <w:r w:rsidRPr="00D46515">
        <w:rPr>
          <w:rFonts w:ascii="Times New Roman" w:hAnsi="Times New Roman" w:cs="Times New Roman"/>
          <w:b/>
          <w:bCs/>
          <w:sz w:val="40"/>
          <w:szCs w:val="40"/>
        </w:rPr>
        <w:t>CONTROLLI BANCARI</w:t>
      </w:r>
    </w:p>
    <w:p w14:paraId="17360D03" w14:textId="5792D5C2" w:rsidR="00834D26" w:rsidRPr="00834D26" w:rsidRDefault="00834D26" w:rsidP="00834D26">
      <w:pPr>
        <w:spacing w:after="0" w:line="360" w:lineRule="auto"/>
        <w:ind w:left="72"/>
        <w:jc w:val="both"/>
        <w:rPr>
          <w:rFonts w:ascii="Times New Roman" w:hAnsi="Times New Roman" w:cs="Times New Roman"/>
          <w:sz w:val="28"/>
          <w:szCs w:val="28"/>
        </w:rPr>
      </w:pPr>
      <w:r w:rsidRPr="00834D26">
        <w:rPr>
          <w:rFonts w:ascii="Times New Roman" w:hAnsi="Times New Roman" w:cs="Times New Roman"/>
          <w:sz w:val="28"/>
          <w:szCs w:val="28"/>
        </w:rPr>
        <w:t xml:space="preserve">L'art. 32, n. 7, del </w:t>
      </w:r>
      <w:r w:rsidR="008C71BA">
        <w:rPr>
          <w:rFonts w:ascii="Times New Roman" w:hAnsi="Times New Roman" w:cs="Times New Roman"/>
          <w:sz w:val="28"/>
          <w:szCs w:val="28"/>
        </w:rPr>
        <w:t>D</w:t>
      </w:r>
      <w:r w:rsidRPr="00834D26">
        <w:rPr>
          <w:rFonts w:ascii="Times New Roman" w:hAnsi="Times New Roman" w:cs="Times New Roman"/>
          <w:sz w:val="28"/>
          <w:szCs w:val="28"/>
        </w:rPr>
        <w:t xml:space="preserve">.P.R. n. 600 del 1973, attribuisce agli uffici finanziari il potere di richiedere, previa autorizzazione del direttore centrale dell'accertamento dell'Agenzia delle entrate o del direttore </w:t>
      </w:r>
      <w:r w:rsidRPr="00834D26">
        <w:rPr>
          <w:rFonts w:ascii="Times New Roman" w:hAnsi="Times New Roman" w:cs="Times New Roman"/>
          <w:noProof/>
          <w:sz w:val="28"/>
          <w:szCs w:val="28"/>
        </w:rPr>
        <mc:AlternateContent>
          <mc:Choice Requires="wps">
            <w:drawing>
              <wp:anchor distT="0" distB="0" distL="0" distR="0" simplePos="0" relativeHeight="251660288" behindDoc="0" locked="0" layoutInCell="0" allowOverlap="1" wp14:anchorId="1CB51159" wp14:editId="6967354F">
                <wp:simplePos x="0" y="0"/>
                <wp:positionH relativeFrom="page">
                  <wp:posOffset>-96520</wp:posOffset>
                </wp:positionH>
                <wp:positionV relativeFrom="page">
                  <wp:posOffset>13970</wp:posOffset>
                </wp:positionV>
                <wp:extent cx="0" cy="10689590"/>
                <wp:effectExtent l="0" t="0" r="0" b="0"/>
                <wp:wrapSquare wrapText="bothSides"/>
                <wp:docPr id="1" name="Connettore dirit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895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4BF12" id="Connettore diritto 1"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6pt,1.1pt" to="-7.6pt,8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UrUyQEAAHgDAAAOAAAAZHJzL2Uyb0RvYy54bWysU01v2zAMvQ/YfxB0X5x0aNcacXpI1126&#10;LUC7H8BIsi1MFgVKiZ1/P0r56LrdhvkgUNTjE/mevLyfBif2hqJF38jFbC6F8Qq19V0jf7w8friV&#10;IibwGhx608iDifJ+9f7dcgy1ucIenTYkmMTHegyN7FMKdVVF1ZsB4gyD8XzYIg2QeEtdpQlGZh9c&#10;dTWf31Qjkg6EysTI2YfjoVwV/rY1Kn1v22iScI3k3lJZqazbvFarJdQdQeitOrUB/9DFANbzpReq&#10;B0ggdmT/ohqsIozYppnCocK2tcqUGXiaxfyPaZ57CKbMwuLEcJEp/j9a9W2/IWE1eyeFh4EtWqP3&#10;JiUkI7Qly5FYZJ3GEGuGr/2G8qRq8s/hCdXPKDyue/CdKf2+HAKTlIrqTUnexMC3bcevqBkDu4RF&#10;tKmlIVOyHGIq3hwu3pgpCXVMKs4u5je3d9d3xbgK6nNloJi+GBxEDhrprM+6QQ37p5i4d4aeITnt&#10;8dE6V7x3XoyN/Lj4dF0KIjqr82GGReq2a0diD/n1lC8LwWRvYIQ7rwtZb0B/PsUJrDvGjHeey84C&#10;HKXcoj5sKNPlPNtbiE9PMb+f3/cF9frDrH4BAAD//wMAUEsDBBQABgAIAAAAIQANUE3b3wAAAAoB&#10;AAAPAAAAZHJzL2Rvd25yZXYueG1sTI9BS8NAEIXvgv9hGaG3dtNAQ4nZFBPsoYcWbAX1ts2OSTA7&#10;G7ObNv57RzzoaXi8jzfvZZvJduKCg28dKVguIhBIlTMt1QqeT9v5GoQPmozuHKGCL/SwyW9vMp0a&#10;d6UnvBxDLTiEfKoVNCH0qZS+atBqv3A9EnvvbrA6sBxqaQZ95XDbyTiKEml1S/yh0T2WDVYfx9Eq&#10;CP7l9RDG3WeRFPsST8Vb+Sh3Ss3upod7EAGn8AfDT32uDjl3OruRjBedgvlyFTOqIObD/q8+M5is&#10;VwnIPJP/J+TfAAAA//8DAFBLAQItABQABgAIAAAAIQC2gziS/gAAAOEBAAATAAAAAAAAAAAAAAAA&#10;AAAAAABbQ29udGVudF9UeXBlc10ueG1sUEsBAi0AFAAGAAgAAAAhADj9If/WAAAAlAEAAAsAAAAA&#10;AAAAAAAAAAAALwEAAF9yZWxzLy5yZWxzUEsBAi0AFAAGAAgAAAAhAN65StTJAQAAeAMAAA4AAAAA&#10;AAAAAAAAAAAALgIAAGRycy9lMm9Eb2MueG1sUEsBAi0AFAAGAAgAAAAhAA1QTdvfAAAACgEAAA8A&#10;AAAAAAAAAAAAAAAAIwQAAGRycy9kb3ducmV2LnhtbFBLBQYAAAAABAAEAPMAAAAvBQAAAAA=&#10;" o:allowincell="f" strokeweight=".25pt">
                <w10:wrap type="square" anchorx="page" anchory="page"/>
              </v:line>
            </w:pict>
          </mc:Fallback>
        </mc:AlternateContent>
      </w:r>
      <w:r w:rsidRPr="00834D26">
        <w:rPr>
          <w:rFonts w:ascii="Times New Roman" w:hAnsi="Times New Roman" w:cs="Times New Roman"/>
          <w:sz w:val="28"/>
          <w:szCs w:val="28"/>
        </w:rPr>
        <w:t>regionale della stessa, ovvero, per il Corpo della guardia di finanza, del comandante regionale, (anche) alle banche dati, notizie e documenti relativi a qualsiasi rapporto intrattenuto od operazione effettuata</w:t>
      </w:r>
      <w:r>
        <w:rPr>
          <w:rFonts w:ascii="Times New Roman" w:hAnsi="Times New Roman" w:cs="Times New Roman"/>
          <w:sz w:val="28"/>
          <w:szCs w:val="28"/>
        </w:rPr>
        <w:t>.</w:t>
      </w:r>
    </w:p>
    <w:p w14:paraId="0F9DE03E" w14:textId="5DDC1C71" w:rsidR="00834D26" w:rsidRPr="00834D26" w:rsidRDefault="00834D26" w:rsidP="00834D26">
      <w:pPr>
        <w:spacing w:after="0" w:line="360" w:lineRule="auto"/>
        <w:ind w:left="72"/>
        <w:jc w:val="both"/>
        <w:rPr>
          <w:rFonts w:ascii="Times New Roman" w:hAnsi="Times New Roman" w:cs="Times New Roman"/>
          <w:sz w:val="28"/>
          <w:szCs w:val="28"/>
        </w:rPr>
      </w:pPr>
      <w:r>
        <w:rPr>
          <w:rFonts w:ascii="Times New Roman" w:hAnsi="Times New Roman" w:cs="Times New Roman"/>
          <w:sz w:val="28"/>
          <w:szCs w:val="28"/>
        </w:rPr>
        <w:t>A</w:t>
      </w:r>
      <w:r w:rsidRPr="00834D26">
        <w:rPr>
          <w:rFonts w:ascii="Times New Roman" w:hAnsi="Times New Roman" w:cs="Times New Roman"/>
          <w:sz w:val="28"/>
          <w:szCs w:val="28"/>
        </w:rPr>
        <w:t xml:space="preserve">naloga disposizione è prevista dall'art. 51, secondo comma, del </w:t>
      </w:r>
      <w:r>
        <w:rPr>
          <w:rFonts w:ascii="Times New Roman" w:hAnsi="Times New Roman" w:cs="Times New Roman"/>
          <w:sz w:val="28"/>
          <w:szCs w:val="28"/>
        </w:rPr>
        <w:t>D</w:t>
      </w:r>
      <w:r w:rsidRPr="00834D26">
        <w:rPr>
          <w:rFonts w:ascii="Times New Roman" w:hAnsi="Times New Roman" w:cs="Times New Roman"/>
          <w:sz w:val="28"/>
          <w:szCs w:val="28"/>
        </w:rPr>
        <w:t>.P.R. n. 633 del 1972, con riferimento alle attribuzioni e poteri degli uffici dell'impost</w:t>
      </w:r>
      <w:r w:rsidR="0070155B">
        <w:rPr>
          <w:rFonts w:ascii="Times New Roman" w:hAnsi="Times New Roman" w:cs="Times New Roman"/>
          <w:sz w:val="28"/>
          <w:szCs w:val="28"/>
        </w:rPr>
        <w:t>a</w:t>
      </w:r>
      <w:r w:rsidRPr="00834D26">
        <w:rPr>
          <w:rFonts w:ascii="Times New Roman" w:hAnsi="Times New Roman" w:cs="Times New Roman"/>
          <w:sz w:val="28"/>
          <w:szCs w:val="28"/>
        </w:rPr>
        <w:t xml:space="preserve"> sul valore aggiunto</w:t>
      </w:r>
      <w:r>
        <w:rPr>
          <w:rFonts w:ascii="Times New Roman" w:hAnsi="Times New Roman" w:cs="Times New Roman"/>
          <w:sz w:val="28"/>
          <w:szCs w:val="28"/>
        </w:rPr>
        <w:t>.</w:t>
      </w:r>
    </w:p>
    <w:p w14:paraId="36B06E2F" w14:textId="440D1F6B" w:rsidR="00834D26" w:rsidRPr="00834D26" w:rsidRDefault="00834D26" w:rsidP="00834D26">
      <w:pPr>
        <w:spacing w:after="0" w:line="360" w:lineRule="auto"/>
        <w:ind w:left="72"/>
        <w:jc w:val="both"/>
        <w:rPr>
          <w:rFonts w:ascii="Times New Roman" w:hAnsi="Times New Roman" w:cs="Times New Roman"/>
          <w:sz w:val="28"/>
          <w:szCs w:val="28"/>
        </w:rPr>
      </w:pPr>
      <w:r>
        <w:rPr>
          <w:rFonts w:ascii="Times New Roman" w:hAnsi="Times New Roman" w:cs="Times New Roman"/>
          <w:sz w:val="28"/>
          <w:szCs w:val="28"/>
        </w:rPr>
        <w:t>S</w:t>
      </w:r>
      <w:r w:rsidRPr="00834D26">
        <w:rPr>
          <w:rFonts w:ascii="Times New Roman" w:hAnsi="Times New Roman" w:cs="Times New Roman"/>
          <w:sz w:val="28"/>
          <w:szCs w:val="28"/>
        </w:rPr>
        <w:t xml:space="preserve">econdo un primo orientamento della </w:t>
      </w:r>
      <w:r w:rsidR="00A56942">
        <w:rPr>
          <w:rFonts w:ascii="Times New Roman" w:hAnsi="Times New Roman" w:cs="Times New Roman"/>
          <w:sz w:val="28"/>
          <w:szCs w:val="28"/>
        </w:rPr>
        <w:t>Corte di Cassazione</w:t>
      </w:r>
      <w:r w:rsidRPr="00834D26">
        <w:rPr>
          <w:rFonts w:ascii="Times New Roman" w:hAnsi="Times New Roman" w:cs="Times New Roman"/>
          <w:sz w:val="28"/>
          <w:szCs w:val="28"/>
        </w:rPr>
        <w:t>, formatosi con riferimento a tale ultima disposizione, la</w:t>
      </w:r>
      <w:r>
        <w:rPr>
          <w:rFonts w:ascii="Times New Roman" w:hAnsi="Times New Roman" w:cs="Times New Roman"/>
          <w:sz w:val="28"/>
          <w:szCs w:val="28"/>
        </w:rPr>
        <w:t xml:space="preserve"> </w:t>
      </w:r>
      <w:r w:rsidRPr="00834D26">
        <w:rPr>
          <w:rFonts w:ascii="Times New Roman" w:hAnsi="Times New Roman" w:cs="Times New Roman"/>
          <w:sz w:val="28"/>
          <w:szCs w:val="28"/>
        </w:rPr>
        <w:t>mancanza della</w:t>
      </w:r>
      <w:r>
        <w:rPr>
          <w:rFonts w:ascii="Times New Roman" w:hAnsi="Times New Roman" w:cs="Times New Roman"/>
          <w:sz w:val="28"/>
          <w:szCs w:val="28"/>
        </w:rPr>
        <w:t xml:space="preserve"> </w:t>
      </w:r>
      <w:r w:rsidRPr="00834D26">
        <w:rPr>
          <w:rFonts w:ascii="Times New Roman" w:hAnsi="Times New Roman" w:cs="Times New Roman"/>
          <w:sz w:val="28"/>
          <w:szCs w:val="28"/>
        </w:rPr>
        <w:t xml:space="preserve">autorizzazione prevista ai fini della richiesta di acquisizione, dagli istituti di credito, di copia dei conti bancari intrattenuti con il contribuente, non preclude l'utilizzabilità dei dati acquisiti, atteso che la predetta autorizzazione attiene ai rapporti interni e che in materia tributaria non vige il principio (presente nel codice di procedura penale) della inutilizzabilità della prova irritualmente acquisita, salvi i limiti derivanti da eventuali preclusioni di carattere specifico (cfr. Cass. 19 febbraio 2009, n. 4001; Cass. </w:t>
      </w:r>
      <w:r>
        <w:rPr>
          <w:rFonts w:ascii="Times New Roman" w:hAnsi="Times New Roman" w:cs="Times New Roman"/>
          <w:sz w:val="28"/>
          <w:szCs w:val="28"/>
        </w:rPr>
        <w:t xml:space="preserve">1° </w:t>
      </w:r>
      <w:r w:rsidRPr="00834D26">
        <w:rPr>
          <w:rFonts w:ascii="Times New Roman" w:hAnsi="Times New Roman" w:cs="Times New Roman"/>
          <w:sz w:val="28"/>
          <w:szCs w:val="28"/>
        </w:rPr>
        <w:t>aprile 2003, n. 4987)</w:t>
      </w:r>
      <w:r>
        <w:rPr>
          <w:rFonts w:ascii="Times New Roman" w:hAnsi="Times New Roman" w:cs="Times New Roman"/>
          <w:sz w:val="28"/>
          <w:szCs w:val="28"/>
        </w:rPr>
        <w:t>.</w:t>
      </w:r>
    </w:p>
    <w:p w14:paraId="297FDBBD" w14:textId="18CF4890" w:rsidR="00834D26" w:rsidRPr="00A56942" w:rsidRDefault="00834D26" w:rsidP="00834D26">
      <w:pPr>
        <w:spacing w:after="0" w:line="360" w:lineRule="auto"/>
        <w:jc w:val="both"/>
        <w:rPr>
          <w:rFonts w:ascii="Times New Roman" w:hAnsi="Times New Roman" w:cs="Times New Roman"/>
          <w:b/>
          <w:bCs/>
          <w:sz w:val="28"/>
          <w:szCs w:val="28"/>
        </w:rPr>
      </w:pPr>
      <w:r w:rsidRPr="00A56942">
        <w:rPr>
          <w:rFonts w:ascii="Times New Roman" w:hAnsi="Times New Roman" w:cs="Times New Roman"/>
          <w:b/>
          <w:bCs/>
          <w:sz w:val="28"/>
          <w:szCs w:val="28"/>
        </w:rPr>
        <w:t>Altro orientamento</w:t>
      </w:r>
      <w:r w:rsidR="00A56942" w:rsidRPr="00A56942">
        <w:rPr>
          <w:rFonts w:ascii="Times New Roman" w:hAnsi="Times New Roman" w:cs="Times New Roman"/>
          <w:b/>
          <w:bCs/>
          <w:sz w:val="28"/>
          <w:szCs w:val="28"/>
        </w:rPr>
        <w:t xml:space="preserve"> della Corte di Cassazione</w:t>
      </w:r>
      <w:r w:rsidRPr="00A56942">
        <w:rPr>
          <w:rFonts w:ascii="Times New Roman" w:hAnsi="Times New Roman" w:cs="Times New Roman"/>
          <w:b/>
          <w:bCs/>
          <w:sz w:val="28"/>
          <w:szCs w:val="28"/>
        </w:rPr>
        <w:t xml:space="preserve"> ha evidenziato che le norme in esame subordinano la legittimità delle indagini bancarie e delle relative risultanze all'esistenza dell'autorizzazione (e non anche alla relativa esibizione all'interessato), con la precisazione per la quale eventuali illegittimità nell'ambito del procedimento amministrativo di accertamento diventano censurabili davanti al giudice tributario a condizione che, traducendosi in un concreto pregiudizio per il contribuente, vengano ad inficiare il risultato finale del procedimento e, quindi, l'accertamento medesimo (cfr. Cass. 26 settembre 2014, n. 20420; Cass. 21 luglio 2009, n. 16874; Cass. 15 giugno 2007, n. 14023).</w:t>
      </w:r>
    </w:p>
    <w:p w14:paraId="291DB342" w14:textId="18DA2660" w:rsidR="00834D26" w:rsidRPr="006D2635" w:rsidRDefault="00DA656B" w:rsidP="00834D26">
      <w:pPr>
        <w:spacing w:after="0" w:line="360" w:lineRule="auto"/>
        <w:jc w:val="both"/>
        <w:rPr>
          <w:rFonts w:ascii="Times New Roman" w:hAnsi="Times New Roman" w:cs="Times New Roman"/>
          <w:b/>
          <w:bCs/>
          <w:sz w:val="28"/>
          <w:szCs w:val="28"/>
        </w:rPr>
      </w:pPr>
      <w:r w:rsidRPr="006D2635">
        <w:rPr>
          <w:rFonts w:ascii="Times New Roman" w:hAnsi="Times New Roman" w:cs="Times New Roman"/>
          <w:b/>
          <w:bCs/>
          <w:sz w:val="28"/>
          <w:szCs w:val="28"/>
        </w:rPr>
        <w:t>Infine, la Corte di Cassazione</w:t>
      </w:r>
      <w:r w:rsidR="00834D26" w:rsidRPr="006D2635">
        <w:rPr>
          <w:rFonts w:ascii="Times New Roman" w:hAnsi="Times New Roman" w:cs="Times New Roman"/>
          <w:b/>
          <w:bCs/>
          <w:sz w:val="28"/>
          <w:szCs w:val="28"/>
        </w:rPr>
        <w:t xml:space="preserve"> </w:t>
      </w:r>
      <w:r w:rsidRPr="006D2635">
        <w:rPr>
          <w:rFonts w:ascii="Times New Roman" w:hAnsi="Times New Roman" w:cs="Times New Roman"/>
          <w:b/>
          <w:bCs/>
          <w:sz w:val="28"/>
          <w:szCs w:val="28"/>
        </w:rPr>
        <w:t>ha inteso</w:t>
      </w:r>
      <w:r w:rsidR="00834D26" w:rsidRPr="006D2635">
        <w:rPr>
          <w:rFonts w:ascii="Times New Roman" w:hAnsi="Times New Roman" w:cs="Times New Roman"/>
          <w:b/>
          <w:bCs/>
          <w:sz w:val="28"/>
          <w:szCs w:val="28"/>
        </w:rPr>
        <w:t xml:space="preserve"> dare continuità a tale ultimo orientamento</w:t>
      </w:r>
      <w:r w:rsidRPr="006D2635">
        <w:rPr>
          <w:rFonts w:ascii="Times New Roman" w:hAnsi="Times New Roman" w:cs="Times New Roman"/>
          <w:b/>
          <w:bCs/>
          <w:sz w:val="28"/>
          <w:szCs w:val="28"/>
        </w:rPr>
        <w:t>,</w:t>
      </w:r>
      <w:r w:rsidR="00834D26" w:rsidRPr="006D2635">
        <w:rPr>
          <w:rFonts w:ascii="Times New Roman" w:hAnsi="Times New Roman" w:cs="Times New Roman"/>
          <w:b/>
          <w:bCs/>
          <w:sz w:val="28"/>
          <w:szCs w:val="28"/>
        </w:rPr>
        <w:t xml:space="preserve"> ribadito dalle pronunce della Sezione del 10 febbraio e 14 luglio 2017, rispettivamente, nn. 3628 e 17457</w:t>
      </w:r>
      <w:r w:rsidRPr="006D2635">
        <w:rPr>
          <w:rFonts w:ascii="Times New Roman" w:hAnsi="Times New Roman" w:cs="Times New Roman"/>
          <w:b/>
          <w:bCs/>
          <w:sz w:val="28"/>
          <w:szCs w:val="28"/>
        </w:rPr>
        <w:t>,</w:t>
      </w:r>
      <w:r w:rsidR="00834D26" w:rsidRPr="006D2635">
        <w:rPr>
          <w:rFonts w:ascii="Times New Roman" w:hAnsi="Times New Roman" w:cs="Times New Roman"/>
          <w:b/>
          <w:bCs/>
          <w:sz w:val="28"/>
          <w:szCs w:val="28"/>
        </w:rPr>
        <w:t xml:space="preserve"> apparendo maggiormente coerente, da </w:t>
      </w:r>
      <w:r w:rsidR="00834D26" w:rsidRPr="006D2635">
        <w:rPr>
          <w:rFonts w:ascii="Times New Roman" w:hAnsi="Times New Roman" w:cs="Times New Roman"/>
          <w:b/>
          <w:bCs/>
          <w:sz w:val="28"/>
          <w:szCs w:val="28"/>
        </w:rPr>
        <w:lastRenderedPageBreak/>
        <w:t>un lato, con il richiamato</w:t>
      </w:r>
      <w:r w:rsidR="00834D26" w:rsidRPr="00834D26">
        <w:rPr>
          <w:rFonts w:ascii="Times New Roman" w:hAnsi="Times New Roman" w:cs="Times New Roman"/>
          <w:sz w:val="28"/>
          <w:szCs w:val="28"/>
        </w:rPr>
        <w:t xml:space="preserve"> </w:t>
      </w:r>
      <w:r w:rsidR="00834D26" w:rsidRPr="006D2635">
        <w:rPr>
          <w:rFonts w:ascii="Times New Roman" w:hAnsi="Times New Roman" w:cs="Times New Roman"/>
          <w:b/>
          <w:bCs/>
          <w:sz w:val="28"/>
          <w:szCs w:val="28"/>
        </w:rPr>
        <w:t>paradigma normativo, che subordina la presentazione della richiesta al parere del dirigente, dall'altro, con la concezione sostanzialistica dell'interesse del privato alla legittimità del provvedimento amministrativo, espressa, in via generale, dall'art. 21 octies</w:t>
      </w:r>
      <w:r w:rsidR="00834D26" w:rsidRPr="006D2635">
        <w:rPr>
          <w:rFonts w:ascii="Times New Roman" w:hAnsi="Times New Roman" w:cs="Times New Roman"/>
          <w:b/>
          <w:bCs/>
          <w:i/>
          <w:iCs/>
          <w:sz w:val="28"/>
          <w:szCs w:val="28"/>
        </w:rPr>
        <w:t xml:space="preserve">, </w:t>
      </w:r>
      <w:r w:rsidR="00834D26" w:rsidRPr="006D2635">
        <w:rPr>
          <w:rFonts w:ascii="Times New Roman" w:hAnsi="Times New Roman" w:cs="Times New Roman"/>
          <w:b/>
          <w:bCs/>
          <w:sz w:val="28"/>
          <w:szCs w:val="28"/>
        </w:rPr>
        <w:t xml:space="preserve">legge 7 agosto 1990, n. 241. </w:t>
      </w:r>
    </w:p>
    <w:p w14:paraId="7DF36EDE" w14:textId="31CD2A45" w:rsidR="00834D26" w:rsidRPr="00834D26" w:rsidRDefault="007E5F25" w:rsidP="007E5F2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w:t>
      </w:r>
      <w:r w:rsidR="00834D26" w:rsidRPr="00834D26">
        <w:rPr>
          <w:rFonts w:ascii="Times New Roman" w:hAnsi="Times New Roman" w:cs="Times New Roman"/>
          <w:sz w:val="28"/>
          <w:szCs w:val="28"/>
        </w:rPr>
        <w:t>l concreto pregiudizio del contribuente non può</w:t>
      </w:r>
      <w:r>
        <w:rPr>
          <w:rFonts w:ascii="Times New Roman" w:hAnsi="Times New Roman" w:cs="Times New Roman"/>
          <w:sz w:val="28"/>
          <w:szCs w:val="28"/>
        </w:rPr>
        <w:t>, però,</w:t>
      </w:r>
      <w:r w:rsidR="00834D26" w:rsidRPr="00834D26">
        <w:rPr>
          <w:rFonts w:ascii="Times New Roman" w:hAnsi="Times New Roman" w:cs="Times New Roman"/>
          <w:sz w:val="28"/>
          <w:szCs w:val="28"/>
        </w:rPr>
        <w:t xml:space="preserve"> esaurirsi nel mancato rilascio della autorizzazione da parte del dirigente,</w:t>
      </w:r>
      <w:r w:rsidR="00527F6D">
        <w:rPr>
          <w:rFonts w:ascii="Times New Roman" w:hAnsi="Times New Roman" w:cs="Times New Roman"/>
          <w:sz w:val="28"/>
          <w:szCs w:val="28"/>
        </w:rPr>
        <w:t xml:space="preserve"> </w:t>
      </w:r>
      <w:r w:rsidR="00834D26" w:rsidRPr="00834D26">
        <w:rPr>
          <w:rFonts w:ascii="Times New Roman" w:hAnsi="Times New Roman" w:cs="Times New Roman"/>
          <w:sz w:val="28"/>
          <w:szCs w:val="28"/>
        </w:rPr>
        <w:t>pena la svalutazione del requisito cui, secondo</w:t>
      </w:r>
      <w:r w:rsidR="004F055B">
        <w:rPr>
          <w:rFonts w:ascii="Times New Roman" w:hAnsi="Times New Roman" w:cs="Times New Roman"/>
          <w:sz w:val="28"/>
          <w:szCs w:val="28"/>
        </w:rPr>
        <w:t xml:space="preserve"> </w:t>
      </w:r>
      <w:r w:rsidR="00834D26" w:rsidRPr="00834D26">
        <w:rPr>
          <w:rFonts w:ascii="Times New Roman" w:hAnsi="Times New Roman" w:cs="Times New Roman"/>
          <w:sz w:val="28"/>
          <w:szCs w:val="28"/>
        </w:rPr>
        <w:t>l'interpretazione della normativa preferita, è subordinata l'inutilizzabilità delle indagini bancarie compiute in assenza di rituale autorizzazione</w:t>
      </w:r>
      <w:r w:rsidR="004F055B">
        <w:rPr>
          <w:rFonts w:ascii="Times New Roman" w:hAnsi="Times New Roman" w:cs="Times New Roman"/>
          <w:sz w:val="28"/>
          <w:szCs w:val="28"/>
        </w:rPr>
        <w:t>.</w:t>
      </w:r>
    </w:p>
    <w:p w14:paraId="48B14C63" w14:textId="06DC265B" w:rsidR="00834D26" w:rsidRPr="00596547" w:rsidRDefault="007E5F25" w:rsidP="007E5F25">
      <w:pPr>
        <w:spacing w:after="0" w:line="360" w:lineRule="auto"/>
        <w:jc w:val="both"/>
        <w:rPr>
          <w:rFonts w:ascii="Times New Roman" w:hAnsi="Times New Roman" w:cs="Times New Roman"/>
          <w:b/>
          <w:bCs/>
          <w:sz w:val="28"/>
          <w:szCs w:val="28"/>
        </w:rPr>
      </w:pPr>
      <w:r w:rsidRPr="00596547">
        <w:rPr>
          <w:rFonts w:ascii="Times New Roman" w:hAnsi="Times New Roman" w:cs="Times New Roman"/>
          <w:b/>
          <w:bCs/>
          <w:sz w:val="28"/>
          <w:szCs w:val="28"/>
        </w:rPr>
        <w:t>Inoltre, q</w:t>
      </w:r>
      <w:r w:rsidR="00834D26" w:rsidRPr="00596547">
        <w:rPr>
          <w:rFonts w:ascii="Times New Roman" w:hAnsi="Times New Roman" w:cs="Times New Roman"/>
          <w:b/>
          <w:bCs/>
          <w:sz w:val="28"/>
          <w:szCs w:val="28"/>
        </w:rPr>
        <w:t xml:space="preserve">ualora l'accertamento effettuato dall'ufficio finanziario si fondi su verifiche di conti correnti bancari, l'onere probatorio dell'Amministrazione è soddisfatto, secondo l'art. 32 del </w:t>
      </w:r>
      <w:r w:rsidR="00F602BD" w:rsidRPr="00596547">
        <w:rPr>
          <w:rFonts w:ascii="Times New Roman" w:hAnsi="Times New Roman" w:cs="Times New Roman"/>
          <w:b/>
          <w:bCs/>
          <w:sz w:val="28"/>
          <w:szCs w:val="28"/>
        </w:rPr>
        <w:t>D</w:t>
      </w:r>
      <w:r w:rsidR="00834D26" w:rsidRPr="00596547">
        <w:rPr>
          <w:rFonts w:ascii="Times New Roman" w:hAnsi="Times New Roman" w:cs="Times New Roman"/>
          <w:b/>
          <w:bCs/>
          <w:sz w:val="28"/>
          <w:szCs w:val="28"/>
        </w:rPr>
        <w:t>.P.R. n. 600 del 1973, attraverso i dati e gli elementi risultanti dai conti predetti, determinandosi un'inversione dell'onere della prova a carico del contribuente, il quale deve dimostrare, con una prova non generica ma analitica per ogni operazione bancaria, che gli elementi dalla stessa desumibili non sono riferibili ad operazioni imponibili (cfr. Cass. 29 luglio 2016, n 15857; Cass. 11 marzo 2015, n. 4829</w:t>
      </w:r>
      <w:r w:rsidR="00100052" w:rsidRPr="00596547">
        <w:rPr>
          <w:rFonts w:ascii="Times New Roman" w:hAnsi="Times New Roman" w:cs="Times New Roman"/>
          <w:b/>
          <w:bCs/>
          <w:sz w:val="28"/>
          <w:szCs w:val="28"/>
        </w:rPr>
        <w:t>; Cassazione – Quinta Sezione Civile – ordinanza n. 9480, depositata il 18 aprile 2018).</w:t>
      </w:r>
    </w:p>
    <w:p w14:paraId="18B1A4F8" w14:textId="01E4C9CF" w:rsidR="00834D26" w:rsidRDefault="0029775E" w:rsidP="004F055B">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Lecce, </w:t>
      </w:r>
      <w:r w:rsidR="0078660B">
        <w:rPr>
          <w:rFonts w:ascii="Times New Roman" w:hAnsi="Times New Roman" w:cs="Times New Roman"/>
          <w:b/>
          <w:bCs/>
          <w:sz w:val="28"/>
          <w:szCs w:val="28"/>
        </w:rPr>
        <w:t>30 maggio</w:t>
      </w:r>
      <w:r>
        <w:rPr>
          <w:rFonts w:ascii="Times New Roman" w:hAnsi="Times New Roman" w:cs="Times New Roman"/>
          <w:b/>
          <w:bCs/>
          <w:sz w:val="28"/>
          <w:szCs w:val="28"/>
        </w:rPr>
        <w:t xml:space="preserve"> 2020</w:t>
      </w:r>
    </w:p>
    <w:p w14:paraId="72126C9F" w14:textId="77777777" w:rsidR="0029775E" w:rsidRDefault="0029775E" w:rsidP="004F055B">
      <w:pPr>
        <w:spacing w:after="0" w:line="360" w:lineRule="auto"/>
        <w:jc w:val="both"/>
        <w:rPr>
          <w:rFonts w:ascii="Times New Roman" w:hAnsi="Times New Roman" w:cs="Times New Roman"/>
          <w:b/>
          <w:bCs/>
          <w:sz w:val="28"/>
          <w:szCs w:val="28"/>
        </w:rPr>
      </w:pPr>
    </w:p>
    <w:p w14:paraId="47DE083F" w14:textId="77777777" w:rsidR="0029775E" w:rsidRPr="0029775E" w:rsidRDefault="0029775E" w:rsidP="0029775E">
      <w:pPr>
        <w:spacing w:after="0" w:line="360" w:lineRule="auto"/>
        <w:jc w:val="center"/>
        <w:rPr>
          <w:rFonts w:ascii="Times New Roman" w:hAnsi="Times New Roman" w:cs="Times New Roman"/>
          <w:b/>
          <w:bCs/>
          <w:sz w:val="28"/>
          <w:szCs w:val="28"/>
        </w:rPr>
      </w:pPr>
      <w:r w:rsidRPr="0029775E">
        <w:rPr>
          <w:rFonts w:ascii="Times New Roman" w:hAnsi="Times New Roman" w:cs="Times New Roman"/>
          <w:b/>
          <w:bCs/>
          <w:sz w:val="28"/>
          <w:szCs w:val="28"/>
        </w:rPr>
        <w:t>AVV. MAURIZIO VILLANI</w:t>
      </w:r>
    </w:p>
    <w:p w14:paraId="2BEF35B9" w14:textId="77777777" w:rsidR="0029775E" w:rsidRPr="0029775E" w:rsidRDefault="0029775E" w:rsidP="0029775E">
      <w:pPr>
        <w:spacing w:after="0" w:line="360" w:lineRule="auto"/>
        <w:jc w:val="center"/>
        <w:rPr>
          <w:rFonts w:ascii="Times New Roman" w:hAnsi="Times New Roman" w:cs="Times New Roman"/>
          <w:b/>
          <w:bCs/>
          <w:sz w:val="28"/>
          <w:szCs w:val="28"/>
        </w:rPr>
      </w:pPr>
      <w:r w:rsidRPr="0029775E">
        <w:rPr>
          <w:rFonts w:ascii="Times New Roman" w:hAnsi="Times New Roman" w:cs="Times New Roman"/>
          <w:b/>
          <w:bCs/>
          <w:sz w:val="28"/>
          <w:szCs w:val="28"/>
        </w:rPr>
        <w:t>Avvocato Tributarista in Lecce</w:t>
      </w:r>
    </w:p>
    <w:p w14:paraId="12ECD612" w14:textId="77777777" w:rsidR="0029775E" w:rsidRPr="0029775E" w:rsidRDefault="0029775E" w:rsidP="0029775E">
      <w:pPr>
        <w:spacing w:after="0" w:line="360" w:lineRule="auto"/>
        <w:jc w:val="center"/>
        <w:rPr>
          <w:rFonts w:ascii="Times New Roman" w:hAnsi="Times New Roman" w:cs="Times New Roman"/>
          <w:b/>
          <w:bCs/>
          <w:sz w:val="28"/>
          <w:szCs w:val="28"/>
        </w:rPr>
      </w:pPr>
      <w:r w:rsidRPr="0029775E">
        <w:rPr>
          <w:rFonts w:ascii="Times New Roman" w:hAnsi="Times New Roman" w:cs="Times New Roman"/>
          <w:b/>
          <w:bCs/>
          <w:sz w:val="28"/>
          <w:szCs w:val="28"/>
        </w:rPr>
        <w:t>Patrocinante in Cassazione</w:t>
      </w:r>
    </w:p>
    <w:p w14:paraId="22DD3E8B" w14:textId="77777777" w:rsidR="0029775E" w:rsidRPr="0029775E" w:rsidRDefault="00C01365" w:rsidP="0029775E">
      <w:pPr>
        <w:spacing w:after="0" w:line="360" w:lineRule="auto"/>
        <w:jc w:val="center"/>
        <w:rPr>
          <w:rFonts w:ascii="Times New Roman" w:hAnsi="Times New Roman" w:cs="Times New Roman"/>
          <w:b/>
          <w:bCs/>
          <w:sz w:val="28"/>
          <w:szCs w:val="28"/>
        </w:rPr>
      </w:pPr>
      <w:hyperlink r:id="rId7" w:history="1">
        <w:r w:rsidR="0029775E" w:rsidRPr="0029775E">
          <w:rPr>
            <w:rStyle w:val="Collegamentoipertestuale"/>
            <w:rFonts w:ascii="Times New Roman" w:hAnsi="Times New Roman" w:cs="Times New Roman"/>
            <w:b/>
            <w:bCs/>
            <w:sz w:val="28"/>
            <w:szCs w:val="28"/>
          </w:rPr>
          <w:t>www.studiotributariovillani.it</w:t>
        </w:r>
      </w:hyperlink>
      <w:r w:rsidR="0029775E" w:rsidRPr="0029775E">
        <w:rPr>
          <w:rFonts w:ascii="Times New Roman" w:hAnsi="Times New Roman" w:cs="Times New Roman"/>
          <w:b/>
          <w:bCs/>
          <w:sz w:val="28"/>
          <w:szCs w:val="28"/>
        </w:rPr>
        <w:t xml:space="preserve"> - e-mail </w:t>
      </w:r>
      <w:hyperlink r:id="rId8" w:history="1">
        <w:r w:rsidR="0029775E" w:rsidRPr="0029775E">
          <w:rPr>
            <w:rStyle w:val="Collegamentoipertestuale"/>
            <w:rFonts w:ascii="Times New Roman" w:hAnsi="Times New Roman" w:cs="Times New Roman"/>
            <w:b/>
            <w:bCs/>
            <w:sz w:val="28"/>
            <w:szCs w:val="28"/>
          </w:rPr>
          <w:t>avvocato@studiotributariovillani.it</w:t>
        </w:r>
      </w:hyperlink>
    </w:p>
    <w:sectPr w:rsidR="0029775E" w:rsidRPr="0029775E">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159E85" w14:textId="77777777" w:rsidR="00C01365" w:rsidRDefault="00C01365" w:rsidP="00834D26">
      <w:pPr>
        <w:spacing w:after="0" w:line="240" w:lineRule="auto"/>
      </w:pPr>
      <w:r>
        <w:separator/>
      </w:r>
    </w:p>
  </w:endnote>
  <w:endnote w:type="continuationSeparator" w:id="0">
    <w:p w14:paraId="786CADA1" w14:textId="77777777" w:rsidR="00C01365" w:rsidRDefault="00C01365" w:rsidP="00834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0760862"/>
      <w:docPartObj>
        <w:docPartGallery w:val="Page Numbers (Bottom of Page)"/>
        <w:docPartUnique/>
      </w:docPartObj>
    </w:sdtPr>
    <w:sdtEndPr/>
    <w:sdtContent>
      <w:p w14:paraId="2E08063E" w14:textId="77777777" w:rsidR="00834D26" w:rsidRDefault="00834D26">
        <w:pPr>
          <w:pStyle w:val="Pidipagina"/>
          <w:jc w:val="right"/>
        </w:pPr>
        <w:r>
          <w:fldChar w:fldCharType="begin"/>
        </w:r>
        <w:r>
          <w:instrText>PAGE   \* MERGEFORMAT</w:instrText>
        </w:r>
        <w:r>
          <w:fldChar w:fldCharType="separate"/>
        </w:r>
        <w:r>
          <w:t>2</w:t>
        </w:r>
        <w:r>
          <w:fldChar w:fldCharType="end"/>
        </w:r>
      </w:p>
    </w:sdtContent>
  </w:sdt>
  <w:p w14:paraId="04E44E9F" w14:textId="77777777" w:rsidR="00834D26" w:rsidRDefault="00834D2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CAE94" w14:textId="77777777" w:rsidR="00C01365" w:rsidRDefault="00C01365" w:rsidP="00834D26">
      <w:pPr>
        <w:spacing w:after="0" w:line="240" w:lineRule="auto"/>
      </w:pPr>
      <w:r>
        <w:separator/>
      </w:r>
    </w:p>
  </w:footnote>
  <w:footnote w:type="continuationSeparator" w:id="0">
    <w:p w14:paraId="1919594F" w14:textId="77777777" w:rsidR="00C01365" w:rsidRDefault="00C01365" w:rsidP="00834D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EF004"/>
    <w:multiLevelType w:val="singleLevel"/>
    <w:tmpl w:val="64869711"/>
    <w:lvl w:ilvl="0">
      <w:numFmt w:val="bullet"/>
      <w:lvlText w:val="-"/>
      <w:lvlJc w:val="left"/>
      <w:pPr>
        <w:tabs>
          <w:tab w:val="num" w:pos="216"/>
        </w:tabs>
      </w:pPr>
      <w:rPr>
        <w:rFonts w:ascii="Symbol" w:hAnsi="Symbol" w:cs="Symbol"/>
        <w:snapToGrid/>
        <w:spacing w:val="9"/>
        <w:sz w:val="24"/>
        <w:szCs w:val="24"/>
      </w:rPr>
    </w:lvl>
  </w:abstractNum>
  <w:num w:numId="1">
    <w:abstractNumId w:val="0"/>
    <w:lvlOverride w:ilvl="0">
      <w:lvl w:ilvl="0">
        <w:numFmt w:val="bullet"/>
        <w:lvlText w:val="-"/>
        <w:lvlJc w:val="left"/>
        <w:pPr>
          <w:tabs>
            <w:tab w:val="num" w:pos="288"/>
          </w:tabs>
          <w:ind w:left="72"/>
        </w:pPr>
        <w:rPr>
          <w:rFonts w:ascii="Symbol" w:hAnsi="Symbol" w:cs="Symbol"/>
          <w:snapToGrid/>
          <w:sz w:val="24"/>
          <w:szCs w:val="24"/>
        </w:rPr>
      </w:lvl>
    </w:lvlOverride>
  </w:num>
  <w:num w:numId="2">
    <w:abstractNumId w:val="0"/>
  </w:num>
  <w:num w:numId="3">
    <w:abstractNumId w:val="0"/>
    <w:lvlOverride w:ilvl="0">
      <w:lvl w:ilvl="0">
        <w:numFmt w:val="bullet"/>
        <w:lvlText w:val="-"/>
        <w:lvlJc w:val="left"/>
        <w:pPr>
          <w:tabs>
            <w:tab w:val="num" w:pos="360"/>
          </w:tabs>
          <w:ind w:left="72"/>
        </w:pPr>
        <w:rPr>
          <w:rFonts w:ascii="Symbol" w:hAnsi="Symbol" w:cs="Symbol"/>
          <w:snapToGrid/>
          <w:spacing w:val="12"/>
          <w:sz w:val="24"/>
          <w:szCs w:val="24"/>
        </w:rPr>
      </w:lvl>
    </w:lvlOverride>
  </w:num>
  <w:num w:numId="4">
    <w:abstractNumId w:val="0"/>
    <w:lvlOverride w:ilvl="0">
      <w:lvl w:ilvl="0">
        <w:numFmt w:val="bullet"/>
        <w:lvlText w:val="-"/>
        <w:lvlJc w:val="left"/>
        <w:pPr>
          <w:tabs>
            <w:tab w:val="num" w:pos="360"/>
          </w:tabs>
        </w:pPr>
        <w:rPr>
          <w:rFonts w:ascii="Symbol" w:hAnsi="Symbol" w:cs="Symbol"/>
          <w:snapToGrid/>
          <w:spacing w:val="17"/>
          <w:sz w:val="24"/>
          <w:szCs w:val="24"/>
        </w:rPr>
      </w:lvl>
    </w:lvlOverride>
  </w:num>
  <w:num w:numId="5">
    <w:abstractNumId w:val="0"/>
    <w:lvlOverride w:ilvl="0">
      <w:lvl w:ilvl="0">
        <w:numFmt w:val="bullet"/>
        <w:lvlText w:val="-"/>
        <w:lvlJc w:val="left"/>
        <w:pPr>
          <w:tabs>
            <w:tab w:val="num" w:pos="288"/>
          </w:tabs>
          <w:ind w:left="144"/>
        </w:pPr>
        <w:rPr>
          <w:rFonts w:ascii="Symbol" w:hAnsi="Symbol" w:cs="Symbol"/>
          <w:snapToGrid/>
          <w:spacing w:val="-1"/>
          <w:sz w:val="24"/>
          <w:szCs w:val="24"/>
        </w:rPr>
      </w:lvl>
    </w:lvlOverride>
  </w:num>
  <w:num w:numId="6">
    <w:abstractNumId w:val="0"/>
    <w:lvlOverride w:ilvl="0">
      <w:lvl w:ilvl="0">
        <w:numFmt w:val="bullet"/>
        <w:lvlText w:val="-"/>
        <w:lvlJc w:val="left"/>
        <w:pPr>
          <w:tabs>
            <w:tab w:val="num" w:pos="216"/>
          </w:tabs>
          <w:ind w:left="144"/>
        </w:pPr>
        <w:rPr>
          <w:rFonts w:ascii="Symbol" w:hAnsi="Symbol" w:cs="Symbol"/>
          <w:snapToGrid/>
          <w:spacing w:val="-4"/>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D26"/>
    <w:rsid w:val="00100052"/>
    <w:rsid w:val="00270432"/>
    <w:rsid w:val="0029775E"/>
    <w:rsid w:val="003030F0"/>
    <w:rsid w:val="004F055B"/>
    <w:rsid w:val="00527F6D"/>
    <w:rsid w:val="005909EF"/>
    <w:rsid w:val="00596547"/>
    <w:rsid w:val="006D2635"/>
    <w:rsid w:val="0070155B"/>
    <w:rsid w:val="00772C0F"/>
    <w:rsid w:val="0078660B"/>
    <w:rsid w:val="007E5F25"/>
    <w:rsid w:val="00834D26"/>
    <w:rsid w:val="008C71BA"/>
    <w:rsid w:val="009A61F1"/>
    <w:rsid w:val="00A34D55"/>
    <w:rsid w:val="00A56942"/>
    <w:rsid w:val="00A6157E"/>
    <w:rsid w:val="00C01365"/>
    <w:rsid w:val="00D1100F"/>
    <w:rsid w:val="00D46515"/>
    <w:rsid w:val="00DA656B"/>
    <w:rsid w:val="00E061C2"/>
    <w:rsid w:val="00F602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4E752"/>
  <w15:chartTrackingRefBased/>
  <w15:docId w15:val="{44EF0805-4350-4DE0-8483-AA3D7A495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34D2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34D26"/>
  </w:style>
  <w:style w:type="paragraph" w:styleId="Pidipagina">
    <w:name w:val="footer"/>
    <w:basedOn w:val="Normale"/>
    <w:link w:val="PidipaginaCarattere"/>
    <w:uiPriority w:val="99"/>
    <w:unhideWhenUsed/>
    <w:rsid w:val="00834D2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34D26"/>
  </w:style>
  <w:style w:type="character" w:styleId="Collegamentoipertestuale">
    <w:name w:val="Hyperlink"/>
    <w:basedOn w:val="Carpredefinitoparagrafo"/>
    <w:uiPriority w:val="99"/>
    <w:unhideWhenUsed/>
    <w:rsid w:val="0029775E"/>
    <w:rPr>
      <w:color w:val="0563C1" w:themeColor="hyperlink"/>
      <w:u w:val="single"/>
    </w:rPr>
  </w:style>
  <w:style w:type="character" w:styleId="Menzionenonrisolta">
    <w:name w:val="Unresolved Mention"/>
    <w:basedOn w:val="Carpredefinitoparagrafo"/>
    <w:uiPriority w:val="99"/>
    <w:semiHidden/>
    <w:unhideWhenUsed/>
    <w:rsid w:val="002977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vocato@studiotributariovillani.it" TargetMode="External"/><Relationship Id="rId3" Type="http://schemas.openxmlformats.org/officeDocument/2006/relationships/settings" Target="settings.xml"/><Relationship Id="rId7" Type="http://schemas.openxmlformats.org/officeDocument/2006/relationships/hyperlink" Target="http://www.studiotributariovillan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579</Words>
  <Characters>3303</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Faggiano</dc:creator>
  <cp:keywords/>
  <dc:description/>
  <cp:lastModifiedBy>Francesca Faggiano</cp:lastModifiedBy>
  <cp:revision>19</cp:revision>
  <cp:lastPrinted>2020-05-30T07:15:00Z</cp:lastPrinted>
  <dcterms:created xsi:type="dcterms:W3CDTF">2020-01-20T16:17:00Z</dcterms:created>
  <dcterms:modified xsi:type="dcterms:W3CDTF">2020-05-30T07:17:00Z</dcterms:modified>
</cp:coreProperties>
</file>