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AF40" w14:textId="212F2E0C" w:rsidR="009E7FC5" w:rsidRPr="006031BC" w:rsidRDefault="00BF3BF4" w:rsidP="00D34C7C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6031BC">
        <w:rPr>
          <w:b/>
          <w:bCs/>
          <w:sz w:val="40"/>
          <w:szCs w:val="40"/>
        </w:rPr>
        <w:t>EMERGENZA COVID-19</w:t>
      </w:r>
    </w:p>
    <w:p w14:paraId="2A06469F" w14:textId="2763607E" w:rsidR="00BF3BF4" w:rsidRPr="006031BC" w:rsidRDefault="00BF3BF4" w:rsidP="00D34C7C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6031BC">
        <w:rPr>
          <w:b/>
          <w:bCs/>
          <w:sz w:val="40"/>
          <w:szCs w:val="40"/>
        </w:rPr>
        <w:t>SOMME ALL’AGENZIA DELLE ENTRATE E ALL’ADER</w:t>
      </w:r>
      <w:r w:rsidR="006123FF" w:rsidRPr="006031BC">
        <w:rPr>
          <w:b/>
          <w:bCs/>
          <w:sz w:val="40"/>
          <w:szCs w:val="40"/>
        </w:rPr>
        <w:t xml:space="preserve"> E NON AI </w:t>
      </w:r>
      <w:proofErr w:type="gramStart"/>
      <w:r w:rsidR="006123FF" w:rsidRPr="006031BC">
        <w:rPr>
          <w:b/>
          <w:bCs/>
          <w:sz w:val="40"/>
          <w:szCs w:val="40"/>
        </w:rPr>
        <w:t xml:space="preserve">CONTRIBUENTI </w:t>
      </w:r>
      <w:r w:rsidRPr="006031BC">
        <w:rPr>
          <w:b/>
          <w:bCs/>
          <w:sz w:val="40"/>
          <w:szCs w:val="40"/>
        </w:rPr>
        <w:t>!</w:t>
      </w:r>
      <w:proofErr w:type="gramEnd"/>
      <w:r w:rsidRPr="006031BC">
        <w:rPr>
          <w:b/>
          <w:bCs/>
          <w:sz w:val="40"/>
          <w:szCs w:val="40"/>
        </w:rPr>
        <w:t xml:space="preserve"> ! !</w:t>
      </w:r>
    </w:p>
    <w:p w14:paraId="595B6B22" w14:textId="3C30D143" w:rsidR="00D34C7C" w:rsidRDefault="00D34C7C" w:rsidP="00D34C7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questo particolare e difficile momento storico ed economico, in cui la pandemia</w:t>
      </w:r>
      <w:r w:rsidR="008C3CD4">
        <w:rPr>
          <w:sz w:val="28"/>
          <w:szCs w:val="28"/>
        </w:rPr>
        <w:t>,</w:t>
      </w:r>
      <w:r>
        <w:rPr>
          <w:sz w:val="28"/>
          <w:szCs w:val="28"/>
        </w:rPr>
        <w:t xml:space="preserve"> oltre ai problemi sanitari, sta producendo una grave crisi, con il rischio di chiusure commerciali ed imprenditoriali, nonché professionali, con inevitabili conseguenze sul piano occupazionale, il Governo</w:t>
      </w:r>
      <w:r w:rsidR="00C117F8">
        <w:rPr>
          <w:sz w:val="28"/>
          <w:szCs w:val="28"/>
        </w:rPr>
        <w:t>,</w:t>
      </w:r>
      <w:r>
        <w:rPr>
          <w:sz w:val="28"/>
          <w:szCs w:val="28"/>
        </w:rPr>
        <w:t xml:space="preserve"> con l’ultimo Decreto-Legge </w:t>
      </w:r>
      <w:r w:rsidR="009A6333" w:rsidRPr="009A6333">
        <w:rPr>
          <w:sz w:val="28"/>
          <w:szCs w:val="28"/>
        </w:rPr>
        <w:t>Rilancio</w:t>
      </w:r>
      <w:r>
        <w:rPr>
          <w:sz w:val="28"/>
          <w:szCs w:val="28"/>
        </w:rPr>
        <w:t xml:space="preserve">, ha pensato bene di integrare le </w:t>
      </w:r>
      <w:r w:rsidR="008C3CD4">
        <w:rPr>
          <w:sz w:val="28"/>
          <w:szCs w:val="28"/>
        </w:rPr>
        <w:t xml:space="preserve">sostanziose </w:t>
      </w:r>
      <w:r>
        <w:rPr>
          <w:sz w:val="28"/>
          <w:szCs w:val="28"/>
        </w:rPr>
        <w:t xml:space="preserve">risorse economiche spettanti alle Agenzia delle Entrate ed alle Agenzie delle Entrate Riscossione (ADER) </w:t>
      </w:r>
      <w:r w:rsidRPr="008C3CD4">
        <w:rPr>
          <w:b/>
          <w:bCs/>
          <w:sz w:val="28"/>
          <w:szCs w:val="28"/>
        </w:rPr>
        <w:t>per favorire il rafforzamento delle attività di promozione dell’adempimento spontaneo degli obblighi fiscali da parte dei contribuenti nonché per l’equilibrio gestionale del servizio nazionale di riscossione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artt. 139 e 155 D.L. n. 34 del 19 maggio 2020</w:t>
      </w:r>
      <w:r>
        <w:rPr>
          <w:sz w:val="28"/>
          <w:szCs w:val="28"/>
        </w:rPr>
        <w:t>).</w:t>
      </w:r>
    </w:p>
    <w:p w14:paraId="76BFEEFF" w14:textId="7B22A45F" w:rsidR="00D34C7C" w:rsidRDefault="00D34C7C" w:rsidP="00D34C7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Prima di chiarire quanto sopra, è opportuno, secondo me, precisare i rapporti giuridici ed economici che intercorrono tra il Ministero dell’Economia e delle Finanze (MEF), le Agenzie fiscali e l’ADER, sulla base della seguente normativa:</w:t>
      </w:r>
    </w:p>
    <w:p w14:paraId="7B08D4C2" w14:textId="11767F10" w:rsidR="00D34C7C" w:rsidRDefault="00D34C7C" w:rsidP="00D34C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MEF e ciascuna </w:t>
      </w:r>
      <w:r w:rsidR="008C3CD4">
        <w:rPr>
          <w:sz w:val="28"/>
          <w:szCs w:val="28"/>
        </w:rPr>
        <w:t>A</w:t>
      </w:r>
      <w:r>
        <w:rPr>
          <w:sz w:val="28"/>
          <w:szCs w:val="28"/>
        </w:rPr>
        <w:t xml:space="preserve">genzia, sulla base del documento di indirizzo, stipulano </w:t>
      </w:r>
      <w:r w:rsidRPr="00D34C7C">
        <w:rPr>
          <w:b/>
          <w:bCs/>
          <w:sz w:val="28"/>
          <w:szCs w:val="28"/>
        </w:rPr>
        <w:t xml:space="preserve">una convenzione triennale, </w:t>
      </w:r>
      <w:r>
        <w:rPr>
          <w:sz w:val="28"/>
          <w:szCs w:val="28"/>
        </w:rPr>
        <w:t xml:space="preserve">con adeguamento annuale per ciascun esercizio finanziario, con la quale vengono fissati soprattutto i servizi dovuti e </w:t>
      </w:r>
      <w:r w:rsidRPr="00D34C7C">
        <w:rPr>
          <w:b/>
          <w:bCs/>
          <w:sz w:val="28"/>
          <w:szCs w:val="28"/>
        </w:rPr>
        <w:t>gli obiettivi da raggiungere</w:t>
      </w:r>
      <w:r>
        <w:rPr>
          <w:sz w:val="28"/>
          <w:szCs w:val="28"/>
        </w:rPr>
        <w:t xml:space="preserve"> (art. 59, comma 2, </w:t>
      </w:r>
      <w:proofErr w:type="spellStart"/>
      <w:r>
        <w:rPr>
          <w:sz w:val="28"/>
          <w:szCs w:val="28"/>
        </w:rPr>
        <w:t>D.Lgs.</w:t>
      </w:r>
      <w:proofErr w:type="spellEnd"/>
      <w:r>
        <w:rPr>
          <w:sz w:val="28"/>
          <w:szCs w:val="28"/>
        </w:rPr>
        <w:t xml:space="preserve"> n. 300 del 30/07/1999);</w:t>
      </w:r>
    </w:p>
    <w:p w14:paraId="24AB3B64" w14:textId="088626D3" w:rsidR="00D34C7C" w:rsidRDefault="00D34C7C" w:rsidP="00D34C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all’esito positivo delle verifiche effettuate dal MEF, </w:t>
      </w:r>
      <w:r w:rsidRPr="00D34C7C">
        <w:rPr>
          <w:b/>
          <w:bCs/>
          <w:sz w:val="28"/>
          <w:szCs w:val="28"/>
        </w:rPr>
        <w:t xml:space="preserve">finalizzate ad accertare il maggior gettito incassato ed i risparmi di spesa conseguiti al disconoscimento di rimborsi o di crediti d’imposta, peraltro già stanziati, sono previste integrazioni economiche alle Agenzie fiscali, con apposito provvedimento </w:t>
      </w:r>
      <w:r w:rsidRPr="00D34C7C">
        <w:rPr>
          <w:sz w:val="28"/>
          <w:szCs w:val="28"/>
        </w:rPr>
        <w:t xml:space="preserve">(art. 1, comma 7, </w:t>
      </w:r>
      <w:proofErr w:type="spellStart"/>
      <w:r w:rsidRPr="00D34C7C">
        <w:rPr>
          <w:sz w:val="28"/>
          <w:szCs w:val="28"/>
        </w:rPr>
        <w:t>D.Lgs.</w:t>
      </w:r>
      <w:proofErr w:type="spellEnd"/>
      <w:r w:rsidRPr="00D34C7C">
        <w:rPr>
          <w:sz w:val="28"/>
          <w:szCs w:val="28"/>
        </w:rPr>
        <w:t xml:space="preserve"> n. 157 del 24/09/2015);</w:t>
      </w:r>
    </w:p>
    <w:p w14:paraId="1D8C2646" w14:textId="21A152F6" w:rsidR="00D34C7C" w:rsidRPr="00421D26" w:rsidRDefault="00D34C7C" w:rsidP="00D34C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421D26">
        <w:rPr>
          <w:b/>
          <w:bCs/>
          <w:sz w:val="28"/>
          <w:szCs w:val="28"/>
        </w:rPr>
        <w:t xml:space="preserve">per il potenziamento dell’Amministrazione finanziaria e delle attività di contrasto dell’evasione fiscale, la misura dei compensi </w:t>
      </w:r>
      <w:r w:rsidR="00421D26" w:rsidRPr="00421D26">
        <w:rPr>
          <w:b/>
          <w:bCs/>
          <w:sz w:val="28"/>
          <w:szCs w:val="28"/>
        </w:rPr>
        <w:t xml:space="preserve">incentivanti è stabilita </w:t>
      </w:r>
      <w:r w:rsidR="00421D26" w:rsidRPr="00421D26">
        <w:rPr>
          <w:b/>
          <w:bCs/>
          <w:sz w:val="28"/>
          <w:szCs w:val="28"/>
        </w:rPr>
        <w:lastRenderedPageBreak/>
        <w:t>nel 2% (due per cento)</w:t>
      </w:r>
      <w:r w:rsidR="00421D26">
        <w:rPr>
          <w:sz w:val="28"/>
          <w:szCs w:val="28"/>
        </w:rPr>
        <w:t xml:space="preserve"> </w:t>
      </w:r>
      <w:r w:rsidR="00421D26" w:rsidRPr="00E60876">
        <w:rPr>
          <w:b/>
          <w:bCs/>
          <w:sz w:val="28"/>
          <w:szCs w:val="28"/>
        </w:rPr>
        <w:t>e si applica  su tutte le somme riscosse in via definitiva a seguito dell’attività di accertamento tributario</w:t>
      </w:r>
      <w:r w:rsidR="00421D26">
        <w:rPr>
          <w:sz w:val="28"/>
          <w:szCs w:val="28"/>
        </w:rPr>
        <w:t xml:space="preserve"> (art. 12, comma 1, D.L. n. 79 del 28/03/1997, convertito dalla Legge n. 140 del 28/05/1997, c.d. </w:t>
      </w:r>
      <w:r w:rsidR="00421D26" w:rsidRPr="00421D26">
        <w:rPr>
          <w:b/>
          <w:bCs/>
          <w:sz w:val="28"/>
          <w:szCs w:val="28"/>
        </w:rPr>
        <w:t>Premio straordinario</w:t>
      </w:r>
      <w:r w:rsidR="00421D26">
        <w:rPr>
          <w:sz w:val="28"/>
          <w:szCs w:val="28"/>
        </w:rPr>
        <w:t>, già previsto dall’art. 4, comma 2, D.L. n. 564/1994, convertito</w:t>
      </w:r>
      <w:r w:rsidR="00E60876">
        <w:rPr>
          <w:sz w:val="28"/>
          <w:szCs w:val="28"/>
        </w:rPr>
        <w:t>, con modificazioni,</w:t>
      </w:r>
      <w:r w:rsidR="00421D26">
        <w:rPr>
          <w:sz w:val="28"/>
          <w:szCs w:val="28"/>
        </w:rPr>
        <w:t xml:space="preserve"> dalla Legge n. 656 del 30/11/1994);</w:t>
      </w:r>
    </w:p>
    <w:p w14:paraId="24234338" w14:textId="3DA5CE66" w:rsidR="00421D26" w:rsidRPr="00737AFA" w:rsidRDefault="00A739DC" w:rsidP="00D34C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gli oneri di finanziamento del servizio nazionale della riscossione sono disciplinati e previsti dall’art. 17 </w:t>
      </w:r>
      <w:proofErr w:type="spellStart"/>
      <w:r>
        <w:rPr>
          <w:b/>
          <w:bCs/>
          <w:sz w:val="28"/>
          <w:szCs w:val="28"/>
        </w:rPr>
        <w:t>D.Lgs.</w:t>
      </w:r>
      <w:proofErr w:type="spellEnd"/>
      <w:r>
        <w:rPr>
          <w:b/>
          <w:bCs/>
          <w:sz w:val="28"/>
          <w:szCs w:val="28"/>
        </w:rPr>
        <w:t xml:space="preserve"> n. 112 del 13/04/1999</w:t>
      </w:r>
      <w:r>
        <w:rPr>
          <w:sz w:val="28"/>
          <w:szCs w:val="28"/>
        </w:rPr>
        <w:t xml:space="preserve">, anche a seguito della soppressione di Equitalia ed istituzione dall’01 luglio 2017 </w:t>
      </w:r>
      <w:r w:rsidRPr="00A739DC">
        <w:rPr>
          <w:b/>
          <w:bCs/>
          <w:sz w:val="28"/>
          <w:szCs w:val="28"/>
        </w:rPr>
        <w:t xml:space="preserve">dell’ADER ente pubblico economico strumentale </w:t>
      </w:r>
      <w:r w:rsidR="00F95F83">
        <w:rPr>
          <w:sz w:val="28"/>
          <w:szCs w:val="28"/>
        </w:rPr>
        <w:t>(art. 1, commi 2 e 3, D.L. n. 193/2016, convertito</w:t>
      </w:r>
      <w:r w:rsidR="0066748B">
        <w:rPr>
          <w:sz w:val="28"/>
          <w:szCs w:val="28"/>
        </w:rPr>
        <w:t>, con modificazioni,</w:t>
      </w:r>
      <w:r w:rsidR="00F95F83">
        <w:rPr>
          <w:sz w:val="28"/>
          <w:szCs w:val="28"/>
        </w:rPr>
        <w:t xml:space="preserve"> dalla Legge n. 225 dell’01/12/2016).</w:t>
      </w:r>
    </w:p>
    <w:p w14:paraId="16685E91" w14:textId="1BA44EB0" w:rsidR="00737AFA" w:rsidRDefault="001F1789" w:rsidP="00737AF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Sulla base della succitata normativa, ultimamente il Governo, con gli artt. 139 e 155 D.L. n. 34/2020</w:t>
      </w:r>
      <w:r w:rsidR="00C117F8">
        <w:rPr>
          <w:sz w:val="28"/>
          <w:szCs w:val="28"/>
        </w:rPr>
        <w:t>,</w:t>
      </w:r>
      <w:r>
        <w:rPr>
          <w:sz w:val="28"/>
          <w:szCs w:val="28"/>
        </w:rPr>
        <w:t xml:space="preserve"> ha stabilito e stanziato, a decorrere dal 2020:</w:t>
      </w:r>
    </w:p>
    <w:p w14:paraId="049C600B" w14:textId="26B4EE0A" w:rsidR="001F1789" w:rsidRDefault="001F1789" w:rsidP="001F178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F1789">
        <w:rPr>
          <w:b/>
          <w:bCs/>
          <w:sz w:val="28"/>
          <w:szCs w:val="28"/>
        </w:rPr>
        <w:t>una integrazione economica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in deroga a quanto previsto sulle modalità di riscontro del gettito incassato, per i seguenti motivi:</w:t>
      </w:r>
    </w:p>
    <w:p w14:paraId="061CACA2" w14:textId="5C216AFE" w:rsidR="001F1789" w:rsidRDefault="001F1789" w:rsidP="0066748B">
      <w:pPr>
        <w:pStyle w:val="Paragrafoelenco"/>
        <w:spacing w:after="0" w:line="360" w:lineRule="auto"/>
        <w:ind w:left="1134" w:hanging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favorire il rafforzamento delle attività di promozione dell’adempimento spontaneo degli obblighi fiscali da parte dei contribuenti;</w:t>
      </w:r>
    </w:p>
    <w:p w14:paraId="09128824" w14:textId="096B813E" w:rsidR="001F1789" w:rsidRDefault="001F1789" w:rsidP="0066748B">
      <w:pPr>
        <w:pStyle w:val="Paragrafoelenco"/>
        <w:spacing w:after="0" w:line="360" w:lineRule="auto"/>
        <w:ind w:left="1134" w:hanging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ottimizzare i servizi di assistenza e consulenza offerti ai contribuenti, favorendone, ove possibile, la fruizione online;</w:t>
      </w:r>
    </w:p>
    <w:p w14:paraId="37948559" w14:textId="0956D5CB" w:rsidR="001F1789" w:rsidRDefault="001F1789" w:rsidP="0066748B">
      <w:pPr>
        <w:pStyle w:val="Paragrafoelenco"/>
        <w:spacing w:after="0" w:line="360" w:lineRule="auto"/>
        <w:ind w:left="1134" w:hanging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migliorare i tempi di erogazione dei rimborsi fiscali ai cittadini ed alle imprese (</w:t>
      </w:r>
      <w:proofErr w:type="gramStart"/>
      <w:r>
        <w:rPr>
          <w:b/>
          <w:bCs/>
          <w:sz w:val="28"/>
          <w:szCs w:val="28"/>
        </w:rPr>
        <w:t>! !</w:t>
      </w:r>
      <w:proofErr w:type="gramEnd"/>
      <w:r>
        <w:rPr>
          <w:b/>
          <w:bCs/>
          <w:sz w:val="28"/>
          <w:szCs w:val="28"/>
        </w:rPr>
        <w:t xml:space="preserve"> !);</w:t>
      </w:r>
    </w:p>
    <w:p w14:paraId="635473EF" w14:textId="16A09BAD" w:rsidR="001F1789" w:rsidRDefault="001F1789" w:rsidP="001F178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1F1789">
        <w:rPr>
          <w:b/>
          <w:bCs/>
          <w:sz w:val="28"/>
          <w:szCs w:val="28"/>
        </w:rPr>
        <w:t>il premio straordinario del 2% (vedi n. 3) per l’attività di promozione dell’adempimento spontaneo degli obblighi fiscali;</w:t>
      </w:r>
    </w:p>
    <w:p w14:paraId="2A80FA1D" w14:textId="078AF5EF" w:rsidR="001F1789" w:rsidRDefault="001F1789" w:rsidP="001F178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una quota non superiore a 300 milioni di euro </w:t>
      </w:r>
      <w:r w:rsidR="00523D95">
        <w:rPr>
          <w:b/>
          <w:bCs/>
          <w:sz w:val="28"/>
          <w:szCs w:val="28"/>
        </w:rPr>
        <w:t xml:space="preserve">solo </w:t>
      </w:r>
      <w:r>
        <w:rPr>
          <w:b/>
          <w:bCs/>
          <w:sz w:val="28"/>
          <w:szCs w:val="28"/>
        </w:rPr>
        <w:t>per l’anno 2020</w:t>
      </w:r>
      <w:r w:rsidR="006D61D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come integrazione del contributo a favore dell’ADER (art. 155, comma 1, D.L. n. 34 cit.).</w:t>
      </w:r>
    </w:p>
    <w:p w14:paraId="03B9418E" w14:textId="23F96C7E" w:rsidR="001F1789" w:rsidRDefault="00C3071D" w:rsidP="001F17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questo punto, il comune cittadino-contribuente si pone la legittima domanda: il Governo, invece di destinare ingenti risorse finanziarie alle Agenzie fiscali, perché non provvede subito ad una seria, organica e strutturale riforma fiscale?</w:t>
      </w:r>
    </w:p>
    <w:p w14:paraId="32C3EBDA" w14:textId="31F7B1E4" w:rsidR="008336EB" w:rsidRPr="008336EB" w:rsidRDefault="008336EB" w:rsidP="001F17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Non bisogna altresì dimenticare che, sino ad oggi, più della metà delle imprese che hanno inoltrato domanda di accesso ai prestiti bancari previsti dai decreti legge “Cura Italia” e “Liquidità” è ancora in attesa di finanziamento, perché i crediti garantiti dallo Stato vengono erogati col contagocce (studio della Fondazione Studi Consulenti del Lavoro tra il 12 e il 17 giugno 2020)</w:t>
      </w:r>
      <w:r w:rsidR="003861AC">
        <w:rPr>
          <w:sz w:val="28"/>
          <w:szCs w:val="28"/>
        </w:rPr>
        <w:t>, per cui le ingenti somme destinate alle Agenzie fiscali potrebbero invece risolvere molti problemi finanziari di oggi.</w:t>
      </w:r>
    </w:p>
    <w:p w14:paraId="552C8787" w14:textId="6F49FE6E" w:rsidR="00C3071D" w:rsidRPr="00C3071D" w:rsidRDefault="00C3071D" w:rsidP="001F1789">
      <w:pPr>
        <w:spacing w:after="0" w:line="360" w:lineRule="auto"/>
        <w:jc w:val="both"/>
        <w:rPr>
          <w:b/>
          <w:bCs/>
          <w:sz w:val="28"/>
          <w:szCs w:val="28"/>
        </w:rPr>
      </w:pPr>
      <w:r w:rsidRPr="00C3071D">
        <w:rPr>
          <w:b/>
          <w:bCs/>
          <w:sz w:val="28"/>
          <w:szCs w:val="28"/>
        </w:rPr>
        <w:t>Infatti, la “promozione dell’adempimento spontaneo degli obblighi fiscali da parte dei contribuenti”, oggi, è difficile da realizzare quando:</w:t>
      </w:r>
    </w:p>
    <w:p w14:paraId="04B2AB77" w14:textId="5F601389" w:rsidR="00C3071D" w:rsidRDefault="00C3071D" w:rsidP="001F1789">
      <w:pPr>
        <w:spacing w:after="0" w:line="360" w:lineRule="auto"/>
        <w:jc w:val="both"/>
        <w:rPr>
          <w:sz w:val="28"/>
          <w:szCs w:val="28"/>
        </w:rPr>
      </w:pPr>
      <w:r w:rsidRPr="00C3071D">
        <w:rPr>
          <w:b/>
          <w:bCs/>
          <w:sz w:val="28"/>
          <w:szCs w:val="28"/>
        </w:rPr>
        <w:t xml:space="preserve">- la pressione fiscale è oltre il 50% del reddito prodotto </w:t>
      </w:r>
      <w:r>
        <w:rPr>
          <w:sz w:val="28"/>
          <w:szCs w:val="28"/>
        </w:rPr>
        <w:t>(</w:t>
      </w:r>
      <w:r w:rsidRPr="00B7308E">
        <w:rPr>
          <w:b/>
          <w:bCs/>
          <w:sz w:val="28"/>
          <w:szCs w:val="28"/>
        </w:rPr>
        <w:t>e si arriva quasi al 70% con i vari contributi</w:t>
      </w:r>
      <w:r>
        <w:rPr>
          <w:sz w:val="28"/>
          <w:szCs w:val="28"/>
        </w:rPr>
        <w:t>);</w:t>
      </w:r>
    </w:p>
    <w:p w14:paraId="03DA4BD6" w14:textId="76D4FB1F" w:rsidR="00C3071D" w:rsidRDefault="00C3071D" w:rsidP="001F1789">
      <w:p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la normativa fiscale è oscura, complicata e contraddittoria</w:t>
      </w:r>
      <w:r w:rsidR="00B7308E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C3071D">
        <w:rPr>
          <w:sz w:val="28"/>
          <w:szCs w:val="28"/>
        </w:rPr>
        <w:t>infatti, da una indagine condotta dalla Fondazione Nazionale dei Dottori Commercialisti, dal 2008 al 2017 le circolari dell’Agenzia sono state ben 490</w:t>
      </w:r>
      <w:r w:rsidR="00E44B32">
        <w:rPr>
          <w:sz w:val="28"/>
          <w:szCs w:val="28"/>
        </w:rPr>
        <w:t>, le risoluzioni 1768, i provvedimenti del Direttore della stessa Agenzia delle Entrate ben 2023 (il tutto corrispondente a quasi 5</w:t>
      </w:r>
      <w:r w:rsidR="00C117F8">
        <w:rPr>
          <w:sz w:val="28"/>
          <w:szCs w:val="28"/>
        </w:rPr>
        <w:t>0</w:t>
      </w:r>
      <w:r w:rsidR="00E44B32">
        <w:rPr>
          <w:sz w:val="28"/>
          <w:szCs w:val="28"/>
        </w:rPr>
        <w:t>.000 pagine), senza citare i numerosissimi decreti attuativi che, solo per la Legge di Bilancio, sono ogni anno circa 200 ! ! !;</w:t>
      </w:r>
    </w:p>
    <w:p w14:paraId="502844EF" w14:textId="68847596" w:rsidR="00E44B32" w:rsidRDefault="00E44B32" w:rsidP="001F1789">
      <w:p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su 266 articoli del Decreto Rilancio ben 75 richiedono provvedimenti attuativi, con il rischio della decadenza; </w:t>
      </w:r>
      <w:r>
        <w:rPr>
          <w:sz w:val="28"/>
          <w:szCs w:val="28"/>
        </w:rPr>
        <w:t>oltretutto, l’81% di tutte le norme anti COVID è fermo perché sino ad oggi mancano i provvedimenti attuativi;</w:t>
      </w:r>
    </w:p>
    <w:p w14:paraId="3C9FD974" w14:textId="317284EC" w:rsidR="00E44B32" w:rsidRDefault="00E44B32" w:rsidP="001F1789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la giustizia tributaria è </w:t>
      </w:r>
      <w:r w:rsidR="00B7308E">
        <w:rPr>
          <w:b/>
          <w:bCs/>
          <w:sz w:val="28"/>
          <w:szCs w:val="28"/>
        </w:rPr>
        <w:t xml:space="preserve">inadeguata perché </w:t>
      </w:r>
      <w:r>
        <w:rPr>
          <w:b/>
          <w:bCs/>
          <w:sz w:val="28"/>
          <w:szCs w:val="28"/>
        </w:rPr>
        <w:t>gestita ed organizzata dal MEF, che è una delle parti in causa con giudici a tempo parziale</w:t>
      </w:r>
      <w:r w:rsidR="00C117F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non professionali e pagati dal MEF zero euro per le sospensive e 15 euro nette a sentenza deposita</w:t>
      </w:r>
      <w:r w:rsidR="00F21229">
        <w:rPr>
          <w:b/>
          <w:bCs/>
          <w:sz w:val="28"/>
          <w:szCs w:val="28"/>
        </w:rPr>
        <w:t>ta</w:t>
      </w:r>
      <w:r>
        <w:rPr>
          <w:b/>
          <w:bCs/>
          <w:sz w:val="28"/>
          <w:szCs w:val="28"/>
        </w:rPr>
        <w:t>, come più volte scritto nei miei articoli pubblicati sul mio sito (</w:t>
      </w:r>
      <w:hyperlink r:id="rId7" w:history="1">
        <w:r w:rsidRPr="006E7ADF">
          <w:rPr>
            <w:rStyle w:val="Collegamentoipertestuale"/>
            <w:b/>
            <w:bCs/>
            <w:sz w:val="28"/>
            <w:szCs w:val="28"/>
          </w:rPr>
          <w:t>www.studiotributariovillani.it</w:t>
        </w:r>
      </w:hyperlink>
      <w:r>
        <w:rPr>
          <w:b/>
          <w:bCs/>
          <w:sz w:val="28"/>
          <w:szCs w:val="28"/>
        </w:rPr>
        <w:t>).</w:t>
      </w:r>
    </w:p>
    <w:p w14:paraId="10E334D9" w14:textId="134C747E" w:rsidR="00E44B32" w:rsidRDefault="00806764" w:rsidP="001F17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Invece, se si vuole realizzare seriamente e concretamente la c.d. “</w:t>
      </w:r>
      <w:r w:rsidRPr="00C117F8">
        <w:rPr>
          <w:b/>
          <w:bCs/>
          <w:sz w:val="28"/>
          <w:szCs w:val="28"/>
        </w:rPr>
        <w:t>TAX COMPILANCE</w:t>
      </w:r>
      <w:r>
        <w:rPr>
          <w:sz w:val="28"/>
          <w:szCs w:val="28"/>
        </w:rPr>
        <w:t xml:space="preserve">”, </w:t>
      </w:r>
      <w:r w:rsidR="00C64A0D">
        <w:rPr>
          <w:sz w:val="28"/>
          <w:szCs w:val="28"/>
        </w:rPr>
        <w:t xml:space="preserve">incrementando la fiducia dei cittadini-contribuenti verso le </w:t>
      </w:r>
      <w:r w:rsidR="00F21229">
        <w:rPr>
          <w:sz w:val="28"/>
          <w:szCs w:val="28"/>
        </w:rPr>
        <w:t>I</w:t>
      </w:r>
      <w:r w:rsidR="00C64A0D">
        <w:rPr>
          <w:sz w:val="28"/>
          <w:szCs w:val="28"/>
        </w:rPr>
        <w:t>stituzioni ed invogliandoli ad adempiere agli obblighi fiscali, senza eccessive comp</w:t>
      </w:r>
      <w:r w:rsidR="00F21229">
        <w:rPr>
          <w:sz w:val="28"/>
          <w:szCs w:val="28"/>
        </w:rPr>
        <w:t>lic</w:t>
      </w:r>
      <w:r w:rsidR="00C64A0D">
        <w:rPr>
          <w:sz w:val="28"/>
          <w:szCs w:val="28"/>
        </w:rPr>
        <w:t xml:space="preserve">azioni, </w:t>
      </w:r>
      <w:r w:rsidR="00C64A0D">
        <w:rPr>
          <w:b/>
          <w:bCs/>
          <w:sz w:val="28"/>
          <w:szCs w:val="28"/>
        </w:rPr>
        <w:t xml:space="preserve">bisogna mettere mano subito ad una seria e strutturale riforma fiscale, </w:t>
      </w:r>
      <w:r w:rsidR="00C64A0D" w:rsidRPr="00C64A0D">
        <w:rPr>
          <w:sz w:val="28"/>
          <w:szCs w:val="28"/>
        </w:rPr>
        <w:t>dopo</w:t>
      </w:r>
      <w:r w:rsidR="00C64A0D">
        <w:rPr>
          <w:sz w:val="28"/>
          <w:szCs w:val="28"/>
        </w:rPr>
        <w:t xml:space="preserve"> l’ultima di cinquant’anni fa, prevedendo:</w:t>
      </w:r>
    </w:p>
    <w:p w14:paraId="3BE15FD2" w14:textId="610467AE" w:rsidR="00C64A0D" w:rsidRDefault="00C64A0D" w:rsidP="00C64A0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una sensibile riduzione della pressione fiscale con la “FLAT TAX”</w:t>
      </w:r>
      <w:r w:rsidR="00F21229">
        <w:rPr>
          <w:b/>
          <w:bCs/>
          <w:sz w:val="28"/>
          <w:szCs w:val="28"/>
        </w:rPr>
        <w:t xml:space="preserve"> </w:t>
      </w:r>
      <w:r w:rsidR="000A7373">
        <w:rPr>
          <w:b/>
          <w:bCs/>
          <w:sz w:val="28"/>
          <w:szCs w:val="28"/>
        </w:rPr>
        <w:t>o con a</w:t>
      </w:r>
      <w:r w:rsidR="00F21229">
        <w:rPr>
          <w:b/>
          <w:bCs/>
          <w:sz w:val="28"/>
          <w:szCs w:val="28"/>
        </w:rPr>
        <w:t>ltre modifiche legislative</w:t>
      </w:r>
      <w:r>
        <w:rPr>
          <w:b/>
          <w:bCs/>
          <w:sz w:val="28"/>
          <w:szCs w:val="28"/>
        </w:rPr>
        <w:t>;</w:t>
      </w:r>
    </w:p>
    <w:p w14:paraId="65EB54CB" w14:textId="733C3AE7" w:rsidR="00C64A0D" w:rsidRDefault="00C64A0D" w:rsidP="00C64A0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r w:rsidR="008D4470">
        <w:rPr>
          <w:b/>
          <w:bCs/>
          <w:sz w:val="28"/>
          <w:szCs w:val="28"/>
        </w:rPr>
        <w:t>redazione di un codice tributario unico con norme semplici e ben coordinate;</w:t>
      </w:r>
    </w:p>
    <w:p w14:paraId="68AC9F7C" w14:textId="69151F4D" w:rsidR="008D4470" w:rsidRDefault="008D4470" w:rsidP="00C64A0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riforma della giustizia tributaria, che non deve più dipendere dal MEF, ma dalla Presidenza del Consiglio dei Ministri, per rispettare il requisito della terzietà (art. 111, comma 2 della Costituzione)</w:t>
      </w:r>
      <w:r w:rsidR="00DC0D2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con giudici vincitori di concorso pubblico, professionali, a tempo pieno e dignitosamente retribuiti, come ho più volte sollecitato (oggi, molti disegni di legge in proposito pendono al Senato e</w:t>
      </w:r>
      <w:r w:rsidR="00C117F8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alla Camera</w:t>
      </w:r>
      <w:r w:rsidR="00DC0D2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come previsto dal </w:t>
      </w:r>
      <w:r w:rsidR="00C117F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iano Colao).</w:t>
      </w:r>
    </w:p>
    <w:p w14:paraId="25942435" w14:textId="50F69FEB" w:rsidR="008D4470" w:rsidRDefault="008D4470" w:rsidP="008D447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grave crisi economica e sanitaria che stiamo attraversando </w:t>
      </w:r>
      <w:r w:rsidR="00C117F8">
        <w:rPr>
          <w:b/>
          <w:bCs/>
          <w:sz w:val="28"/>
          <w:szCs w:val="28"/>
        </w:rPr>
        <w:t xml:space="preserve">rappresenta </w:t>
      </w:r>
      <w:r>
        <w:rPr>
          <w:b/>
          <w:bCs/>
          <w:sz w:val="28"/>
          <w:szCs w:val="28"/>
        </w:rPr>
        <w:t>l’opportunità per realizzare finalmente quanto sopra esposto.</w:t>
      </w:r>
    </w:p>
    <w:p w14:paraId="61B6ABFE" w14:textId="2061C800" w:rsidR="008D4470" w:rsidRDefault="008D4470" w:rsidP="008D447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Lecce, 18 giugno 202</w:t>
      </w:r>
      <w:r w:rsidR="00C117F8">
        <w:rPr>
          <w:b/>
          <w:bCs/>
          <w:sz w:val="28"/>
          <w:szCs w:val="28"/>
        </w:rPr>
        <w:t>0</w:t>
      </w:r>
    </w:p>
    <w:p w14:paraId="7273217A" w14:textId="42221FE1" w:rsidR="008D4470" w:rsidRDefault="008D4470" w:rsidP="008D447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Avv. Maurizio Villani</w:t>
      </w:r>
    </w:p>
    <w:p w14:paraId="322DD9F9" w14:textId="240FFA21" w:rsidR="008D4470" w:rsidRDefault="008D4470" w:rsidP="008D4470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4D02570E" w14:textId="77777777" w:rsidR="008D4470" w:rsidRPr="008D4470" w:rsidRDefault="008D4470" w:rsidP="008D4470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D447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AVV. MAURIZIO VILLANI</w:t>
      </w:r>
    </w:p>
    <w:p w14:paraId="6DD2A35A" w14:textId="77777777" w:rsidR="008D4470" w:rsidRPr="008D4470" w:rsidRDefault="008D4470" w:rsidP="008D4470">
      <w:pPr>
        <w:keepNext/>
        <w:spacing w:after="0" w:line="240" w:lineRule="auto"/>
        <w:ind w:left="-153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D447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Avvocato Tributarista in Lecce</w:t>
      </w:r>
    </w:p>
    <w:p w14:paraId="44D1A9C8" w14:textId="77777777" w:rsidR="008D4470" w:rsidRPr="008D4470" w:rsidRDefault="008D4470" w:rsidP="008D4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D44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Patrocinante in Cassazione</w:t>
      </w:r>
    </w:p>
    <w:p w14:paraId="3A6B41B0" w14:textId="77777777" w:rsidR="008D4470" w:rsidRPr="008D4470" w:rsidRDefault="00BF6270" w:rsidP="008D4470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8" w:history="1">
        <w:r w:rsidR="008D4470" w:rsidRPr="008D447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8D4470" w:rsidRPr="008D447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e-mail </w:t>
      </w:r>
      <w:hyperlink r:id="rId9" w:history="1">
        <w:r w:rsidR="008D4470" w:rsidRPr="008D447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p w14:paraId="3FC3C338" w14:textId="77777777" w:rsidR="008D4470" w:rsidRPr="008D4470" w:rsidRDefault="008D4470" w:rsidP="008D4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3FB8135" w14:textId="77777777" w:rsidR="008D4470" w:rsidRPr="008D4470" w:rsidRDefault="008D4470" w:rsidP="008D4470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8D4470" w:rsidRPr="008D447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1172" w14:textId="77777777" w:rsidR="00BF6270" w:rsidRDefault="00BF6270" w:rsidP="009A6333">
      <w:pPr>
        <w:spacing w:after="0" w:line="240" w:lineRule="auto"/>
      </w:pPr>
      <w:r>
        <w:separator/>
      </w:r>
    </w:p>
  </w:endnote>
  <w:endnote w:type="continuationSeparator" w:id="0">
    <w:p w14:paraId="270154B1" w14:textId="77777777" w:rsidR="00BF6270" w:rsidRDefault="00BF6270" w:rsidP="009A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844712"/>
      <w:docPartObj>
        <w:docPartGallery w:val="Page Numbers (Bottom of Page)"/>
        <w:docPartUnique/>
      </w:docPartObj>
    </w:sdtPr>
    <w:sdtEndPr/>
    <w:sdtContent>
      <w:p w14:paraId="0E3DEB8E" w14:textId="3CF3BBE8" w:rsidR="009A6333" w:rsidRDefault="009A63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D5EC1" w14:textId="77777777" w:rsidR="009A6333" w:rsidRDefault="009A63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1C1A" w14:textId="77777777" w:rsidR="00BF6270" w:rsidRDefault="00BF6270" w:rsidP="009A6333">
      <w:pPr>
        <w:spacing w:after="0" w:line="240" w:lineRule="auto"/>
      </w:pPr>
      <w:r>
        <w:separator/>
      </w:r>
    </w:p>
  </w:footnote>
  <w:footnote w:type="continuationSeparator" w:id="0">
    <w:p w14:paraId="79B22537" w14:textId="77777777" w:rsidR="00BF6270" w:rsidRDefault="00BF6270" w:rsidP="009A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1C11"/>
    <w:multiLevelType w:val="hybridMultilevel"/>
    <w:tmpl w:val="43789D98"/>
    <w:lvl w:ilvl="0" w:tplc="AD24A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A47"/>
    <w:multiLevelType w:val="hybridMultilevel"/>
    <w:tmpl w:val="0FC65DEC"/>
    <w:lvl w:ilvl="0" w:tplc="BB7E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CB0"/>
    <w:multiLevelType w:val="hybridMultilevel"/>
    <w:tmpl w:val="2FFEB3EE"/>
    <w:lvl w:ilvl="0" w:tplc="284E8A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4"/>
    <w:rsid w:val="000A7373"/>
    <w:rsid w:val="001F1789"/>
    <w:rsid w:val="00255802"/>
    <w:rsid w:val="003861AC"/>
    <w:rsid w:val="00421D26"/>
    <w:rsid w:val="00523D95"/>
    <w:rsid w:val="006031BC"/>
    <w:rsid w:val="006123FF"/>
    <w:rsid w:val="0066748B"/>
    <w:rsid w:val="006D61D2"/>
    <w:rsid w:val="00737AFA"/>
    <w:rsid w:val="00806764"/>
    <w:rsid w:val="008336EB"/>
    <w:rsid w:val="0087328C"/>
    <w:rsid w:val="008C3CD4"/>
    <w:rsid w:val="008D4470"/>
    <w:rsid w:val="009A6333"/>
    <w:rsid w:val="009E7FC5"/>
    <w:rsid w:val="00A739DC"/>
    <w:rsid w:val="00B7308E"/>
    <w:rsid w:val="00BF3BF4"/>
    <w:rsid w:val="00BF6270"/>
    <w:rsid w:val="00C117F8"/>
    <w:rsid w:val="00C3071D"/>
    <w:rsid w:val="00C64A0D"/>
    <w:rsid w:val="00D34C7C"/>
    <w:rsid w:val="00DC0D2A"/>
    <w:rsid w:val="00E44B32"/>
    <w:rsid w:val="00E60876"/>
    <w:rsid w:val="00F21229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A78C"/>
  <w15:chartTrackingRefBased/>
  <w15:docId w15:val="{38E37F07-E3F6-4720-AF40-495ABDB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C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4B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B3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A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33"/>
  </w:style>
  <w:style w:type="paragraph" w:styleId="Pidipagina">
    <w:name w:val="footer"/>
    <w:basedOn w:val="Normale"/>
    <w:link w:val="PidipaginaCarattere"/>
    <w:uiPriority w:val="99"/>
    <w:unhideWhenUsed/>
    <w:rsid w:val="009A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vvocato@studiotributariovill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2020-06-18T15:15:00Z</cp:lastPrinted>
  <dcterms:created xsi:type="dcterms:W3CDTF">2020-06-19T09:00:00Z</dcterms:created>
  <dcterms:modified xsi:type="dcterms:W3CDTF">2020-06-19T09:00:00Z</dcterms:modified>
</cp:coreProperties>
</file>