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7B5A8" w14:textId="10860D60" w:rsidR="00F74949" w:rsidRPr="00F74949" w:rsidRDefault="00F74949" w:rsidP="00F74949">
      <w:pPr>
        <w:pStyle w:val="Style4"/>
        <w:kinsoku w:val="0"/>
        <w:autoSpaceDE/>
        <w:autoSpaceDN/>
        <w:spacing w:before="0"/>
        <w:jc w:val="center"/>
        <w:rPr>
          <w:rStyle w:val="CharacterStyle2"/>
          <w:rFonts w:asciiTheme="majorHAnsi" w:hAnsiTheme="majorHAnsi" w:cs="Times New Roman"/>
          <w:b/>
          <w:bCs/>
          <w:spacing w:val="-5"/>
          <w:sz w:val="52"/>
          <w:szCs w:val="52"/>
        </w:rPr>
      </w:pPr>
      <w:r w:rsidRPr="00F74949">
        <w:rPr>
          <w:rStyle w:val="CharacterStyle2"/>
          <w:rFonts w:asciiTheme="majorHAnsi" w:hAnsiTheme="majorHAnsi" w:cs="Times New Roman"/>
          <w:b/>
          <w:bCs/>
          <w:spacing w:val="-5"/>
          <w:sz w:val="52"/>
          <w:szCs w:val="52"/>
        </w:rPr>
        <w:t>IL DIRITTO AL CONTRADDITTORIO</w:t>
      </w:r>
    </w:p>
    <w:p w14:paraId="59582ECD" w14:textId="37CB1C63" w:rsidR="007F2C80" w:rsidRDefault="007F2C80" w:rsidP="00B86649">
      <w:pPr>
        <w:pStyle w:val="Style4"/>
        <w:kinsoku w:val="0"/>
        <w:autoSpaceDE/>
        <w:autoSpaceDN/>
        <w:spacing w:before="0"/>
        <w:rPr>
          <w:rStyle w:val="CharacterStyle2"/>
          <w:rFonts w:asciiTheme="majorHAnsi" w:hAnsiTheme="majorHAnsi" w:cs="Times New Roman"/>
          <w:b/>
          <w:bCs/>
          <w:spacing w:val="8"/>
          <w:sz w:val="28"/>
          <w:szCs w:val="28"/>
        </w:rPr>
      </w:pPr>
      <w:r w:rsidRPr="00312F0D">
        <w:rPr>
          <w:rStyle w:val="CharacterStyle2"/>
          <w:rFonts w:asciiTheme="majorHAnsi" w:hAnsiTheme="majorHAnsi" w:cs="Times New Roman"/>
          <w:b/>
          <w:bCs/>
          <w:spacing w:val="8"/>
          <w:sz w:val="28"/>
          <w:szCs w:val="28"/>
        </w:rPr>
        <w:t>Lunedì 27 luglio 2020 si festeggiano i 20 anni dello Statuto dei Diritti del Contribuente approvato con legge n. 212 del 27 luglio 2000.</w:t>
      </w:r>
    </w:p>
    <w:p w14:paraId="060CE194" w14:textId="159FA294" w:rsidR="00312F0D" w:rsidRPr="007D40EC" w:rsidRDefault="00312F0D" w:rsidP="00B86649">
      <w:pPr>
        <w:pStyle w:val="Style4"/>
        <w:kinsoku w:val="0"/>
        <w:autoSpaceDE/>
        <w:autoSpaceDN/>
        <w:spacing w:before="0"/>
        <w:rPr>
          <w:rStyle w:val="CharacterStyle2"/>
          <w:rFonts w:asciiTheme="majorHAnsi" w:hAnsiTheme="majorHAnsi" w:cs="Times New Roman"/>
          <w:b/>
          <w:bCs/>
          <w:spacing w:val="8"/>
          <w:sz w:val="28"/>
          <w:szCs w:val="28"/>
        </w:rPr>
      </w:pPr>
      <w:r w:rsidRPr="00565525">
        <w:rPr>
          <w:rStyle w:val="CharacterStyle2"/>
          <w:rFonts w:asciiTheme="majorHAnsi" w:hAnsiTheme="majorHAnsi" w:cs="Times New Roman"/>
          <w:b/>
          <w:bCs/>
          <w:spacing w:val="8"/>
          <w:sz w:val="28"/>
          <w:szCs w:val="28"/>
        </w:rPr>
        <w:t>Si tratta di una legge ordinaria, più volte derogata (basta leggere i tre decreti-legge emanati durante il periodo COVID-19), tanto è vero che da più parti si auspica</w:t>
      </w:r>
      <w:r w:rsidR="008D3EA0" w:rsidRPr="00565525">
        <w:rPr>
          <w:rStyle w:val="CharacterStyle2"/>
          <w:rFonts w:asciiTheme="majorHAnsi" w:hAnsiTheme="majorHAnsi" w:cs="Times New Roman"/>
          <w:b/>
          <w:bCs/>
          <w:spacing w:val="8"/>
          <w:sz w:val="28"/>
          <w:szCs w:val="28"/>
        </w:rPr>
        <w:t>, giustamente,</w:t>
      </w:r>
      <w:r w:rsidRPr="00565525">
        <w:rPr>
          <w:rStyle w:val="CharacterStyle2"/>
          <w:rFonts w:asciiTheme="majorHAnsi" w:hAnsiTheme="majorHAnsi" w:cs="Times New Roman"/>
          <w:b/>
          <w:bCs/>
          <w:spacing w:val="8"/>
          <w:sz w:val="28"/>
          <w:szCs w:val="28"/>
        </w:rPr>
        <w:t xml:space="preserve"> una costituzionalizzazione dello Statuto, soprattutto</w:t>
      </w:r>
      <w:r>
        <w:rPr>
          <w:rStyle w:val="CharacterStyle2"/>
          <w:rFonts w:asciiTheme="majorHAnsi" w:hAnsiTheme="majorHAnsi" w:cs="Times New Roman"/>
          <w:spacing w:val="8"/>
          <w:sz w:val="28"/>
          <w:szCs w:val="28"/>
        </w:rPr>
        <w:t xml:space="preserve"> </w:t>
      </w:r>
      <w:r w:rsidRPr="007D40EC">
        <w:rPr>
          <w:rStyle w:val="CharacterStyle2"/>
          <w:rFonts w:asciiTheme="majorHAnsi" w:hAnsiTheme="majorHAnsi" w:cs="Times New Roman"/>
          <w:b/>
          <w:bCs/>
          <w:spacing w:val="8"/>
          <w:sz w:val="28"/>
          <w:szCs w:val="28"/>
        </w:rPr>
        <w:t>in vista della</w:t>
      </w:r>
      <w:r w:rsidR="00D77735">
        <w:rPr>
          <w:rStyle w:val="CharacterStyle2"/>
          <w:rFonts w:asciiTheme="majorHAnsi" w:hAnsiTheme="majorHAnsi" w:cs="Times New Roman"/>
          <w:b/>
          <w:bCs/>
          <w:spacing w:val="8"/>
          <w:sz w:val="28"/>
          <w:szCs w:val="28"/>
        </w:rPr>
        <w:t xml:space="preserve"> prossima</w:t>
      </w:r>
      <w:r w:rsidRPr="007D40EC">
        <w:rPr>
          <w:rStyle w:val="CharacterStyle2"/>
          <w:rFonts w:asciiTheme="majorHAnsi" w:hAnsiTheme="majorHAnsi" w:cs="Times New Roman"/>
          <w:b/>
          <w:bCs/>
          <w:spacing w:val="8"/>
          <w:sz w:val="28"/>
          <w:szCs w:val="28"/>
        </w:rPr>
        <w:t xml:space="preserve"> generale riforma fiscale.</w:t>
      </w:r>
    </w:p>
    <w:p w14:paraId="675C6DEF" w14:textId="74914D8B" w:rsidR="00312F0D" w:rsidRPr="0019485B" w:rsidRDefault="00312F0D" w:rsidP="00B86649">
      <w:pPr>
        <w:pStyle w:val="Style4"/>
        <w:kinsoku w:val="0"/>
        <w:autoSpaceDE/>
        <w:autoSpaceDN/>
        <w:spacing w:before="0"/>
        <w:rPr>
          <w:rStyle w:val="CharacterStyle2"/>
          <w:rFonts w:asciiTheme="majorHAnsi" w:hAnsiTheme="majorHAnsi" w:cs="Times New Roman"/>
          <w:b/>
          <w:bCs/>
          <w:spacing w:val="8"/>
          <w:sz w:val="28"/>
          <w:szCs w:val="28"/>
        </w:rPr>
      </w:pPr>
      <w:r w:rsidRPr="0019485B">
        <w:rPr>
          <w:rStyle w:val="CharacterStyle2"/>
          <w:rFonts w:asciiTheme="majorHAnsi" w:hAnsiTheme="majorHAnsi" w:cs="Times New Roman"/>
          <w:b/>
          <w:bCs/>
          <w:spacing w:val="8"/>
          <w:sz w:val="28"/>
          <w:szCs w:val="28"/>
        </w:rPr>
        <w:t>In ogni caso, un principio importante</w:t>
      </w:r>
      <w:r w:rsidR="00443DD0">
        <w:rPr>
          <w:rStyle w:val="CharacterStyle2"/>
          <w:rFonts w:asciiTheme="majorHAnsi" w:hAnsiTheme="majorHAnsi" w:cs="Times New Roman"/>
          <w:b/>
          <w:bCs/>
          <w:spacing w:val="8"/>
          <w:sz w:val="28"/>
          <w:szCs w:val="28"/>
        </w:rPr>
        <w:t xml:space="preserve"> previsto dallo Statuto</w:t>
      </w:r>
      <w:r w:rsidRPr="0019485B">
        <w:rPr>
          <w:rStyle w:val="CharacterStyle2"/>
          <w:rFonts w:asciiTheme="majorHAnsi" w:hAnsiTheme="majorHAnsi" w:cs="Times New Roman"/>
          <w:b/>
          <w:bCs/>
          <w:spacing w:val="8"/>
          <w:sz w:val="28"/>
          <w:szCs w:val="28"/>
        </w:rPr>
        <w:t xml:space="preserve"> è il diritto del contribuente al contraddittorio, disciplinato dall’art. 12, comma 7, della legge n. 212 </w:t>
      </w:r>
      <w:proofErr w:type="gramStart"/>
      <w:r w:rsidRPr="0019485B">
        <w:rPr>
          <w:rStyle w:val="CharacterStyle2"/>
          <w:rFonts w:asciiTheme="majorHAnsi" w:hAnsiTheme="majorHAnsi" w:cs="Times New Roman"/>
          <w:b/>
          <w:bCs/>
          <w:spacing w:val="8"/>
          <w:sz w:val="28"/>
          <w:szCs w:val="28"/>
        </w:rPr>
        <w:t>cit..</w:t>
      </w:r>
      <w:proofErr w:type="gramEnd"/>
    </w:p>
    <w:p w14:paraId="3D10B253" w14:textId="38C02BD9" w:rsidR="00EB3541" w:rsidRPr="008E7E00" w:rsidRDefault="00AD2B61" w:rsidP="00B86649">
      <w:pPr>
        <w:pStyle w:val="Style4"/>
        <w:kinsoku w:val="0"/>
        <w:autoSpaceDE/>
        <w:autoSpaceDN/>
        <w:spacing w:before="0"/>
        <w:rPr>
          <w:rStyle w:val="CharacterStyle2"/>
          <w:rFonts w:asciiTheme="majorHAnsi" w:hAnsiTheme="majorHAnsi" w:cs="Times New Roman"/>
          <w:b/>
          <w:bCs/>
          <w:spacing w:val="-1"/>
          <w:sz w:val="28"/>
          <w:szCs w:val="28"/>
        </w:rPr>
      </w:pPr>
      <w:r w:rsidRPr="008E7E00">
        <w:rPr>
          <w:rStyle w:val="CharacterStyle2"/>
          <w:rFonts w:asciiTheme="majorHAnsi" w:hAnsiTheme="majorHAnsi" w:cs="Times New Roman"/>
          <w:b/>
          <w:bCs/>
          <w:spacing w:val="8"/>
          <w:sz w:val="28"/>
          <w:szCs w:val="28"/>
        </w:rPr>
        <w:t>Dopo vari orientamenti giurisprudenziali, finalmente</w:t>
      </w:r>
      <w:r w:rsidR="00D12ADA">
        <w:rPr>
          <w:rStyle w:val="CharacterStyle2"/>
          <w:rFonts w:asciiTheme="majorHAnsi" w:hAnsiTheme="majorHAnsi" w:cs="Times New Roman"/>
          <w:b/>
          <w:bCs/>
          <w:spacing w:val="8"/>
          <w:sz w:val="28"/>
          <w:szCs w:val="28"/>
        </w:rPr>
        <w:t>,</w:t>
      </w:r>
      <w:r w:rsidRPr="008E7E00">
        <w:rPr>
          <w:rStyle w:val="CharacterStyle2"/>
          <w:rFonts w:asciiTheme="majorHAnsi" w:hAnsiTheme="majorHAnsi" w:cs="Times New Roman"/>
          <w:b/>
          <w:bCs/>
          <w:spacing w:val="8"/>
          <w:sz w:val="28"/>
          <w:szCs w:val="28"/>
        </w:rPr>
        <w:t xml:space="preserve"> la Corte di </w:t>
      </w:r>
      <w:r w:rsidR="000170E0" w:rsidRPr="008E7E00">
        <w:rPr>
          <w:rStyle w:val="CharacterStyle2"/>
          <w:rFonts w:asciiTheme="majorHAnsi" w:hAnsiTheme="majorHAnsi" w:cs="Times New Roman"/>
          <w:b/>
          <w:bCs/>
          <w:spacing w:val="-1"/>
          <w:sz w:val="28"/>
          <w:szCs w:val="28"/>
        </w:rPr>
        <w:t>Cass</w:t>
      </w:r>
      <w:r w:rsidRPr="008E7E00">
        <w:rPr>
          <w:rStyle w:val="CharacterStyle2"/>
          <w:rFonts w:asciiTheme="majorHAnsi" w:hAnsiTheme="majorHAnsi" w:cs="Times New Roman"/>
          <w:b/>
          <w:bCs/>
          <w:spacing w:val="-1"/>
          <w:sz w:val="28"/>
          <w:szCs w:val="28"/>
        </w:rPr>
        <w:t>azione, a</w:t>
      </w:r>
      <w:r w:rsidR="000170E0" w:rsidRPr="008E7E00">
        <w:rPr>
          <w:rStyle w:val="CharacterStyle2"/>
          <w:rFonts w:asciiTheme="majorHAnsi" w:hAnsiTheme="majorHAnsi" w:cs="Times New Roman"/>
          <w:b/>
          <w:bCs/>
          <w:spacing w:val="-1"/>
          <w:sz w:val="28"/>
          <w:szCs w:val="28"/>
        </w:rPr>
        <w:t xml:space="preserve"> Sez</w:t>
      </w:r>
      <w:r w:rsidRPr="008E7E00">
        <w:rPr>
          <w:rStyle w:val="CharacterStyle2"/>
          <w:rFonts w:asciiTheme="majorHAnsi" w:hAnsiTheme="majorHAnsi" w:cs="Times New Roman"/>
          <w:b/>
          <w:bCs/>
          <w:spacing w:val="-1"/>
          <w:sz w:val="28"/>
          <w:szCs w:val="28"/>
        </w:rPr>
        <w:t>ioni</w:t>
      </w:r>
      <w:r w:rsidR="000170E0" w:rsidRPr="008E7E00">
        <w:rPr>
          <w:rStyle w:val="CharacterStyle2"/>
          <w:rFonts w:asciiTheme="majorHAnsi" w:hAnsiTheme="majorHAnsi" w:cs="Times New Roman"/>
          <w:b/>
          <w:bCs/>
          <w:spacing w:val="-1"/>
          <w:sz w:val="28"/>
          <w:szCs w:val="28"/>
        </w:rPr>
        <w:t xml:space="preserve"> Unite</w:t>
      </w:r>
      <w:r w:rsidRPr="008E7E00">
        <w:rPr>
          <w:rStyle w:val="CharacterStyle2"/>
          <w:rFonts w:asciiTheme="majorHAnsi" w:hAnsiTheme="majorHAnsi" w:cs="Times New Roman"/>
          <w:b/>
          <w:bCs/>
          <w:spacing w:val="-1"/>
          <w:sz w:val="28"/>
          <w:szCs w:val="28"/>
        </w:rPr>
        <w:t xml:space="preserve">, con la sentenza n. 18184 del </w:t>
      </w:r>
      <w:r w:rsidR="000170E0" w:rsidRPr="008E7E00">
        <w:rPr>
          <w:rStyle w:val="CharacterStyle2"/>
          <w:rFonts w:asciiTheme="majorHAnsi" w:hAnsiTheme="majorHAnsi" w:cs="Times New Roman"/>
          <w:b/>
          <w:bCs/>
          <w:spacing w:val="-1"/>
          <w:sz w:val="28"/>
          <w:szCs w:val="28"/>
        </w:rPr>
        <w:t>29/07/2013,</w:t>
      </w:r>
      <w:r w:rsidRPr="008E7E00">
        <w:rPr>
          <w:rStyle w:val="CharacterStyle2"/>
          <w:rFonts w:asciiTheme="majorHAnsi" w:hAnsiTheme="majorHAnsi" w:cs="Times New Roman"/>
          <w:b/>
          <w:bCs/>
          <w:spacing w:val="-1"/>
          <w:sz w:val="28"/>
          <w:szCs w:val="28"/>
        </w:rPr>
        <w:t xml:space="preserve"> ha stabilito il seguente importante principio:</w:t>
      </w:r>
    </w:p>
    <w:p w14:paraId="0159B267" w14:textId="77777777" w:rsidR="001F1905" w:rsidRDefault="000170E0" w:rsidP="00B86649">
      <w:pPr>
        <w:pStyle w:val="Style4"/>
        <w:kinsoku w:val="0"/>
        <w:autoSpaceDE/>
        <w:autoSpaceDN/>
        <w:spacing w:before="0"/>
        <w:rPr>
          <w:rStyle w:val="CharacterStyle2"/>
          <w:rFonts w:asciiTheme="majorHAnsi" w:hAnsiTheme="majorHAnsi" w:cs="Times New Roman"/>
          <w:spacing w:val="7"/>
          <w:sz w:val="28"/>
          <w:szCs w:val="28"/>
        </w:rPr>
      </w:pPr>
      <w:r w:rsidRPr="007C0479">
        <w:rPr>
          <w:rStyle w:val="CharacterStyle2"/>
          <w:rFonts w:asciiTheme="majorHAnsi" w:hAnsiTheme="majorHAnsi" w:cs="Times New Roman"/>
          <w:spacing w:val="-1"/>
          <w:sz w:val="28"/>
          <w:szCs w:val="28"/>
        </w:rPr>
        <w:t xml:space="preserve">«In </w:t>
      </w:r>
      <w:r w:rsidRPr="007C0479">
        <w:rPr>
          <w:rStyle w:val="CharacterStyle2"/>
          <w:rFonts w:asciiTheme="majorHAnsi" w:hAnsiTheme="majorHAnsi" w:cs="Times New Roman"/>
          <w:spacing w:val="-3"/>
          <w:sz w:val="28"/>
          <w:szCs w:val="28"/>
        </w:rPr>
        <w:t xml:space="preserve">tema di diritti e garanzie del contribuente sottoposto a verifiche fiscali, </w:t>
      </w:r>
      <w:r w:rsidRPr="007C0479">
        <w:rPr>
          <w:rStyle w:val="CharacterStyle2"/>
          <w:rFonts w:asciiTheme="majorHAnsi" w:hAnsiTheme="majorHAnsi" w:cs="Times New Roman"/>
          <w:spacing w:val="2"/>
          <w:sz w:val="28"/>
          <w:szCs w:val="28"/>
        </w:rPr>
        <w:t xml:space="preserve">l'art. 12, comma 7, della legge 27 luglio 2000, n. 212 deve essere </w:t>
      </w:r>
      <w:r w:rsidRPr="007C0479">
        <w:rPr>
          <w:rStyle w:val="CharacterStyle2"/>
          <w:rFonts w:asciiTheme="majorHAnsi" w:hAnsiTheme="majorHAnsi" w:cs="Times New Roman"/>
          <w:spacing w:val="6"/>
          <w:sz w:val="28"/>
          <w:szCs w:val="28"/>
        </w:rPr>
        <w:t xml:space="preserve">interpretato nel senso che l'inosservanza del termine dilatorio di </w:t>
      </w:r>
      <w:r w:rsidRPr="007C0479">
        <w:rPr>
          <w:rStyle w:val="CharacterStyle2"/>
          <w:rFonts w:asciiTheme="majorHAnsi" w:hAnsiTheme="majorHAnsi" w:cs="Times New Roman"/>
          <w:spacing w:val="-5"/>
          <w:sz w:val="28"/>
          <w:szCs w:val="28"/>
        </w:rPr>
        <w:t>sessanta giorni per l'emanazione dell'avviso di accertamento</w:t>
      </w:r>
      <w:r w:rsidR="00AD2B61">
        <w:rPr>
          <w:rStyle w:val="CharacterStyle2"/>
          <w:rFonts w:asciiTheme="majorHAnsi" w:hAnsiTheme="majorHAnsi" w:cs="Times New Roman"/>
          <w:spacing w:val="-5"/>
          <w:sz w:val="28"/>
          <w:szCs w:val="28"/>
        </w:rPr>
        <w:t>,</w:t>
      </w:r>
      <w:r w:rsidRPr="007C0479">
        <w:rPr>
          <w:rStyle w:val="CharacterStyle2"/>
          <w:rFonts w:asciiTheme="majorHAnsi" w:hAnsiTheme="majorHAnsi" w:cs="Times New Roman"/>
          <w:spacing w:val="-5"/>
          <w:sz w:val="28"/>
          <w:szCs w:val="28"/>
        </w:rPr>
        <w:t xml:space="preserve"> termine </w:t>
      </w:r>
      <w:r w:rsidRPr="007C0479">
        <w:rPr>
          <w:rStyle w:val="CharacterStyle2"/>
          <w:rFonts w:asciiTheme="majorHAnsi" w:hAnsiTheme="majorHAnsi" w:cs="Times New Roman"/>
          <w:spacing w:val="5"/>
          <w:sz w:val="28"/>
          <w:szCs w:val="28"/>
        </w:rPr>
        <w:t xml:space="preserve">decorrente dal rilascio al contribuente, nei cui confronti sia stato </w:t>
      </w:r>
      <w:r w:rsidRPr="007C0479">
        <w:rPr>
          <w:rStyle w:val="CharacterStyle2"/>
          <w:rFonts w:asciiTheme="majorHAnsi" w:hAnsiTheme="majorHAnsi" w:cs="Times New Roman"/>
          <w:spacing w:val="-1"/>
          <w:sz w:val="28"/>
          <w:szCs w:val="28"/>
        </w:rPr>
        <w:t xml:space="preserve">effettuato un accesso, un'ispezione o una verifica nei locali destinati </w:t>
      </w:r>
      <w:r w:rsidRPr="007C0479">
        <w:rPr>
          <w:rStyle w:val="CharacterStyle2"/>
          <w:rFonts w:asciiTheme="majorHAnsi" w:hAnsiTheme="majorHAnsi" w:cs="Times New Roman"/>
          <w:sz w:val="28"/>
          <w:szCs w:val="28"/>
        </w:rPr>
        <w:t xml:space="preserve">all'esercizio dell'attività, della copia del processo verbale di chiusura </w:t>
      </w:r>
      <w:r w:rsidRPr="007C0479">
        <w:rPr>
          <w:rStyle w:val="CharacterStyle2"/>
          <w:rFonts w:asciiTheme="majorHAnsi" w:hAnsiTheme="majorHAnsi" w:cs="Times New Roman"/>
          <w:spacing w:val="-2"/>
          <w:sz w:val="28"/>
          <w:szCs w:val="28"/>
        </w:rPr>
        <w:t>delle operazioni</w:t>
      </w:r>
      <w:r w:rsidR="00AD2B61">
        <w:rPr>
          <w:rStyle w:val="CharacterStyle2"/>
          <w:rFonts w:asciiTheme="majorHAnsi" w:hAnsiTheme="majorHAnsi" w:cs="Times New Roman"/>
          <w:spacing w:val="-2"/>
          <w:sz w:val="28"/>
          <w:szCs w:val="28"/>
        </w:rPr>
        <w:t>,</w:t>
      </w:r>
      <w:r w:rsidRPr="007C0479">
        <w:rPr>
          <w:rStyle w:val="CharacterStyle2"/>
          <w:rFonts w:asciiTheme="majorHAnsi" w:hAnsiTheme="majorHAnsi" w:cs="Times New Roman"/>
          <w:spacing w:val="-2"/>
          <w:sz w:val="28"/>
          <w:szCs w:val="28"/>
        </w:rPr>
        <w:t xml:space="preserve"> determina di per sé, salvo che ricorrano specifiche </w:t>
      </w:r>
      <w:r w:rsidRPr="007C0479">
        <w:rPr>
          <w:rStyle w:val="CharacterStyle2"/>
          <w:rFonts w:asciiTheme="majorHAnsi" w:hAnsiTheme="majorHAnsi" w:cs="Times New Roman"/>
          <w:spacing w:val="3"/>
          <w:sz w:val="28"/>
          <w:szCs w:val="28"/>
        </w:rPr>
        <w:t xml:space="preserve">ragioni di urgenza, </w:t>
      </w:r>
      <w:r w:rsidRPr="00AD2B61">
        <w:rPr>
          <w:rStyle w:val="CharacterStyle2"/>
          <w:rFonts w:asciiTheme="majorHAnsi" w:hAnsiTheme="majorHAnsi" w:cs="Times New Roman"/>
          <w:b/>
          <w:bCs/>
          <w:spacing w:val="3"/>
          <w:sz w:val="28"/>
          <w:szCs w:val="28"/>
        </w:rPr>
        <w:t xml:space="preserve">l'illegittimità dell'atto impositivo emesso "ante </w:t>
      </w:r>
      <w:r w:rsidRPr="00AD2B61">
        <w:rPr>
          <w:rStyle w:val="CharacterStyle2"/>
          <w:rFonts w:asciiTheme="majorHAnsi" w:hAnsiTheme="majorHAnsi" w:cs="Times New Roman"/>
          <w:b/>
          <w:bCs/>
          <w:spacing w:val="-2"/>
          <w:sz w:val="28"/>
          <w:szCs w:val="28"/>
        </w:rPr>
        <w:t>tempus",</w:t>
      </w:r>
      <w:r w:rsidRPr="007C0479">
        <w:rPr>
          <w:rStyle w:val="CharacterStyle2"/>
          <w:rFonts w:asciiTheme="majorHAnsi" w:hAnsiTheme="majorHAnsi" w:cs="Times New Roman"/>
          <w:spacing w:val="-2"/>
          <w:sz w:val="28"/>
          <w:szCs w:val="28"/>
        </w:rPr>
        <w:t xml:space="preserve"> poiché detto termine è posto a garanzia del pieno dispiegarsi </w:t>
      </w:r>
      <w:r w:rsidRPr="007C0479">
        <w:rPr>
          <w:rStyle w:val="CharacterStyle2"/>
          <w:rFonts w:asciiTheme="majorHAnsi" w:hAnsiTheme="majorHAnsi" w:cs="Times New Roman"/>
          <w:spacing w:val="8"/>
          <w:sz w:val="28"/>
          <w:szCs w:val="28"/>
        </w:rPr>
        <w:t xml:space="preserve">del contraddittorio procedimentale, il quale costituisce primaria </w:t>
      </w:r>
      <w:r w:rsidRPr="007C0479">
        <w:rPr>
          <w:rStyle w:val="CharacterStyle2"/>
          <w:rFonts w:asciiTheme="majorHAnsi" w:hAnsiTheme="majorHAnsi" w:cs="Times New Roman"/>
          <w:spacing w:val="-1"/>
          <w:sz w:val="28"/>
          <w:szCs w:val="28"/>
        </w:rPr>
        <w:t xml:space="preserve">espressione dei principi, di derivazione costituzionale, di collaborazione </w:t>
      </w:r>
      <w:r w:rsidRPr="007C0479">
        <w:rPr>
          <w:rStyle w:val="CharacterStyle2"/>
          <w:rFonts w:asciiTheme="majorHAnsi" w:hAnsiTheme="majorHAnsi" w:cs="Times New Roman"/>
          <w:spacing w:val="8"/>
          <w:sz w:val="28"/>
          <w:szCs w:val="28"/>
        </w:rPr>
        <w:t xml:space="preserve">e buona fede tra amministrazione e contribuente ed è diretto al </w:t>
      </w:r>
      <w:r w:rsidRPr="007C0479">
        <w:rPr>
          <w:rStyle w:val="CharacterStyle2"/>
          <w:rFonts w:asciiTheme="majorHAnsi" w:hAnsiTheme="majorHAnsi" w:cs="Times New Roman"/>
          <w:spacing w:val="7"/>
          <w:sz w:val="28"/>
          <w:szCs w:val="28"/>
        </w:rPr>
        <w:t xml:space="preserve">migliore e più efficace esercizio della potestà impositiva. </w:t>
      </w:r>
    </w:p>
    <w:p w14:paraId="4495FF75" w14:textId="146EFFD8" w:rsidR="000170E0" w:rsidRPr="007C0479" w:rsidRDefault="000170E0" w:rsidP="00B86649">
      <w:pPr>
        <w:pStyle w:val="Style4"/>
        <w:kinsoku w:val="0"/>
        <w:autoSpaceDE/>
        <w:autoSpaceDN/>
        <w:spacing w:before="0"/>
        <w:rPr>
          <w:rStyle w:val="CharacterStyle2"/>
          <w:rFonts w:asciiTheme="majorHAnsi" w:hAnsiTheme="majorHAnsi" w:cs="Times New Roman"/>
          <w:sz w:val="28"/>
          <w:szCs w:val="28"/>
        </w:rPr>
      </w:pPr>
      <w:r w:rsidRPr="007C0479">
        <w:rPr>
          <w:rStyle w:val="CharacterStyle2"/>
          <w:rFonts w:asciiTheme="majorHAnsi" w:hAnsiTheme="majorHAnsi" w:cs="Times New Roman"/>
          <w:spacing w:val="7"/>
          <w:sz w:val="28"/>
          <w:szCs w:val="28"/>
        </w:rPr>
        <w:t xml:space="preserve">Il vizio </w:t>
      </w:r>
      <w:r w:rsidRPr="007C0479">
        <w:rPr>
          <w:rStyle w:val="CharacterStyle2"/>
          <w:rFonts w:asciiTheme="majorHAnsi" w:hAnsiTheme="majorHAnsi" w:cs="Times New Roman"/>
          <w:sz w:val="28"/>
          <w:szCs w:val="28"/>
        </w:rPr>
        <w:t xml:space="preserve">invalidante non consiste nella mera omessa enunciazione nell'atto dei </w:t>
      </w:r>
      <w:r w:rsidRPr="007C0479">
        <w:rPr>
          <w:rStyle w:val="CharacterStyle2"/>
          <w:rFonts w:asciiTheme="majorHAnsi" w:hAnsiTheme="majorHAnsi" w:cs="Times New Roman"/>
          <w:spacing w:val="1"/>
          <w:sz w:val="28"/>
          <w:szCs w:val="28"/>
        </w:rPr>
        <w:t xml:space="preserve">motivi di urgenza che ne hanno determinato l'emissione anticipata, </w:t>
      </w:r>
      <w:r w:rsidRPr="007C0479">
        <w:rPr>
          <w:rStyle w:val="CharacterStyle2"/>
          <w:rFonts w:asciiTheme="majorHAnsi" w:hAnsiTheme="majorHAnsi" w:cs="Times New Roman"/>
          <w:spacing w:val="20"/>
          <w:sz w:val="28"/>
          <w:szCs w:val="28"/>
        </w:rPr>
        <w:t xml:space="preserve">bensì nell'effettiva </w:t>
      </w:r>
      <w:r w:rsidRPr="007C0479">
        <w:rPr>
          <w:rStyle w:val="CharacterStyle2"/>
          <w:rFonts w:asciiTheme="majorHAnsi" w:hAnsiTheme="majorHAnsi" w:cs="Times New Roman"/>
          <w:spacing w:val="20"/>
          <w:sz w:val="28"/>
          <w:szCs w:val="28"/>
        </w:rPr>
        <w:lastRenderedPageBreak/>
        <w:t xml:space="preserve">assenza di detto requisito (esonerativo </w:t>
      </w:r>
      <w:r w:rsidRPr="007C0479">
        <w:rPr>
          <w:rStyle w:val="CharacterStyle2"/>
          <w:rFonts w:asciiTheme="majorHAnsi" w:hAnsiTheme="majorHAnsi" w:cs="Times New Roman"/>
          <w:spacing w:val="13"/>
          <w:sz w:val="28"/>
          <w:szCs w:val="28"/>
        </w:rPr>
        <w:t xml:space="preserve">dall'osservanza del termine), la cui ricorrenza, nella concreta </w:t>
      </w:r>
      <w:r w:rsidRPr="007C0479">
        <w:rPr>
          <w:rStyle w:val="CharacterStyle2"/>
          <w:rFonts w:asciiTheme="majorHAnsi" w:hAnsiTheme="majorHAnsi" w:cs="Times New Roman"/>
          <w:spacing w:val="14"/>
          <w:sz w:val="28"/>
          <w:szCs w:val="28"/>
        </w:rPr>
        <w:t xml:space="preserve">fattispecie e all'epoca di tale emissione, deve essere provata </w:t>
      </w:r>
      <w:r w:rsidRPr="007C0479">
        <w:rPr>
          <w:rStyle w:val="CharacterStyle2"/>
          <w:rFonts w:asciiTheme="majorHAnsi" w:hAnsiTheme="majorHAnsi" w:cs="Times New Roman"/>
          <w:sz w:val="28"/>
          <w:szCs w:val="28"/>
        </w:rPr>
        <w:t>dall'ufficio.».</w:t>
      </w:r>
    </w:p>
    <w:p w14:paraId="4975F528" w14:textId="58C85A4F" w:rsidR="000170E0" w:rsidRPr="00C81C83" w:rsidRDefault="000170E0" w:rsidP="00B86649">
      <w:pPr>
        <w:pStyle w:val="Style4"/>
        <w:kinsoku w:val="0"/>
        <w:autoSpaceDE/>
        <w:autoSpaceDN/>
        <w:spacing w:before="0"/>
        <w:rPr>
          <w:rStyle w:val="CharacterStyle2"/>
          <w:rFonts w:asciiTheme="majorHAnsi" w:hAnsiTheme="majorHAnsi" w:cs="Times New Roman"/>
          <w:b/>
          <w:bCs/>
          <w:sz w:val="28"/>
          <w:szCs w:val="28"/>
        </w:rPr>
      </w:pPr>
      <w:r w:rsidRPr="00C81C83">
        <w:rPr>
          <w:rStyle w:val="CharacterStyle2"/>
          <w:rFonts w:asciiTheme="majorHAnsi" w:hAnsiTheme="majorHAnsi" w:cs="Times New Roman"/>
          <w:b/>
          <w:bCs/>
          <w:spacing w:val="-2"/>
          <w:sz w:val="28"/>
          <w:szCs w:val="28"/>
        </w:rPr>
        <w:t xml:space="preserve">Peraltro, </w:t>
      </w:r>
      <w:r w:rsidR="0039320E" w:rsidRPr="00C81C83">
        <w:rPr>
          <w:rStyle w:val="CharacterStyle2"/>
          <w:rFonts w:asciiTheme="majorHAnsi" w:hAnsiTheme="majorHAnsi" w:cs="Times New Roman"/>
          <w:b/>
          <w:bCs/>
          <w:spacing w:val="-2"/>
          <w:sz w:val="28"/>
          <w:szCs w:val="28"/>
        </w:rPr>
        <w:t>la</w:t>
      </w:r>
      <w:r w:rsidRPr="00C81C83">
        <w:rPr>
          <w:rStyle w:val="CharacterStyle2"/>
          <w:rFonts w:asciiTheme="majorHAnsi" w:hAnsiTheme="majorHAnsi" w:cs="Times New Roman"/>
          <w:b/>
          <w:bCs/>
          <w:spacing w:val="-2"/>
          <w:sz w:val="28"/>
          <w:szCs w:val="28"/>
        </w:rPr>
        <w:t xml:space="preserve"> Corte</w:t>
      </w:r>
      <w:r w:rsidR="0039320E" w:rsidRPr="00C81C83">
        <w:rPr>
          <w:rStyle w:val="CharacterStyle2"/>
          <w:rFonts w:asciiTheme="majorHAnsi" w:hAnsiTheme="majorHAnsi" w:cs="Times New Roman"/>
          <w:b/>
          <w:bCs/>
          <w:spacing w:val="-2"/>
          <w:sz w:val="28"/>
          <w:szCs w:val="28"/>
        </w:rPr>
        <w:t xml:space="preserve"> di Cassazione</w:t>
      </w:r>
      <w:r w:rsidRPr="00C81C83">
        <w:rPr>
          <w:rStyle w:val="CharacterStyle2"/>
          <w:rFonts w:asciiTheme="majorHAnsi" w:hAnsiTheme="majorHAnsi" w:cs="Times New Roman"/>
          <w:b/>
          <w:bCs/>
          <w:spacing w:val="-2"/>
          <w:sz w:val="28"/>
          <w:szCs w:val="28"/>
        </w:rPr>
        <w:t xml:space="preserve"> ha avuto altresì occasione di </w:t>
      </w:r>
      <w:r w:rsidRPr="00C81C83">
        <w:rPr>
          <w:rStyle w:val="CharacterStyle2"/>
          <w:rFonts w:asciiTheme="majorHAnsi" w:hAnsiTheme="majorHAnsi" w:cs="Times New Roman"/>
          <w:b/>
          <w:bCs/>
          <w:spacing w:val="15"/>
          <w:sz w:val="28"/>
          <w:szCs w:val="28"/>
        </w:rPr>
        <w:t xml:space="preserve">chiarire (Cass., 30/10/2018, n. 27623) che la sanzione della </w:t>
      </w:r>
      <w:r w:rsidRPr="00C81C83">
        <w:rPr>
          <w:rStyle w:val="CharacterStyle2"/>
          <w:rFonts w:asciiTheme="majorHAnsi" w:hAnsiTheme="majorHAnsi" w:cs="Times New Roman"/>
          <w:b/>
          <w:bCs/>
          <w:spacing w:val="-5"/>
          <w:sz w:val="28"/>
          <w:szCs w:val="28"/>
        </w:rPr>
        <w:t xml:space="preserve">illegittimità dell'avviso per il mancato rispetto del termine dilatorio dei </w:t>
      </w:r>
      <w:r w:rsidRPr="00C81C83">
        <w:rPr>
          <w:rStyle w:val="CharacterStyle2"/>
          <w:rFonts w:asciiTheme="majorHAnsi" w:hAnsiTheme="majorHAnsi" w:cs="Times New Roman"/>
          <w:b/>
          <w:bCs/>
          <w:spacing w:val="15"/>
          <w:sz w:val="28"/>
          <w:szCs w:val="28"/>
        </w:rPr>
        <w:t>sessanta giorni</w:t>
      </w:r>
      <w:r w:rsidR="00EB3541" w:rsidRPr="00C81C83">
        <w:rPr>
          <w:rStyle w:val="CharacterStyle2"/>
          <w:rFonts w:asciiTheme="majorHAnsi" w:hAnsiTheme="majorHAnsi" w:cs="Times New Roman"/>
          <w:b/>
          <w:bCs/>
          <w:spacing w:val="15"/>
          <w:sz w:val="28"/>
          <w:szCs w:val="28"/>
        </w:rPr>
        <w:t xml:space="preserve"> </w:t>
      </w:r>
      <w:r w:rsidRPr="00C81C83">
        <w:rPr>
          <w:rStyle w:val="CharacterStyle2"/>
          <w:rFonts w:asciiTheme="majorHAnsi" w:hAnsiTheme="majorHAnsi" w:cs="Times New Roman"/>
          <w:b/>
          <w:bCs/>
          <w:spacing w:val="15"/>
          <w:sz w:val="28"/>
          <w:szCs w:val="28"/>
        </w:rPr>
        <w:t xml:space="preserve">stabilito a presidio del pieno dispiegarsi del </w:t>
      </w:r>
      <w:r w:rsidRPr="00C81C83">
        <w:rPr>
          <w:rStyle w:val="CharacterStyle2"/>
          <w:rFonts w:asciiTheme="majorHAnsi" w:hAnsiTheme="majorHAnsi" w:cs="Times New Roman"/>
          <w:b/>
          <w:bCs/>
          <w:spacing w:val="20"/>
          <w:sz w:val="28"/>
          <w:szCs w:val="28"/>
        </w:rPr>
        <w:t xml:space="preserve">contraddittorio procedimentale, espressione dei principi di </w:t>
      </w:r>
      <w:r w:rsidRPr="00C81C83">
        <w:rPr>
          <w:rStyle w:val="CharacterStyle2"/>
          <w:rFonts w:asciiTheme="majorHAnsi" w:hAnsiTheme="majorHAnsi" w:cs="Times New Roman"/>
          <w:b/>
          <w:bCs/>
          <w:sz w:val="28"/>
          <w:szCs w:val="28"/>
        </w:rPr>
        <w:t>collaborazione e di buona fede</w:t>
      </w:r>
      <w:r w:rsidR="0039320E" w:rsidRPr="00C81C83">
        <w:rPr>
          <w:rStyle w:val="CharacterStyle2"/>
          <w:rFonts w:asciiTheme="majorHAnsi" w:hAnsiTheme="majorHAnsi" w:cs="Times New Roman"/>
          <w:b/>
          <w:bCs/>
          <w:sz w:val="28"/>
          <w:szCs w:val="28"/>
        </w:rPr>
        <w:t>,</w:t>
      </w:r>
      <w:r w:rsidRPr="00C81C83">
        <w:rPr>
          <w:rStyle w:val="CharacterStyle2"/>
          <w:rFonts w:asciiTheme="majorHAnsi" w:hAnsiTheme="majorHAnsi" w:cs="Times New Roman"/>
          <w:b/>
          <w:bCs/>
          <w:sz w:val="28"/>
          <w:szCs w:val="28"/>
        </w:rPr>
        <w:t xml:space="preserve"> non presuppone che il contribuente </w:t>
      </w:r>
      <w:r w:rsidRPr="00C81C83">
        <w:rPr>
          <w:rStyle w:val="CharacterStyle2"/>
          <w:rFonts w:asciiTheme="majorHAnsi" w:hAnsiTheme="majorHAnsi" w:cs="Times New Roman"/>
          <w:b/>
          <w:bCs/>
          <w:spacing w:val="8"/>
          <w:sz w:val="28"/>
          <w:szCs w:val="28"/>
        </w:rPr>
        <w:t xml:space="preserve">dimostri che il minor termine gli ha precluso di predisporre una </w:t>
      </w:r>
      <w:r w:rsidRPr="00C81C83">
        <w:rPr>
          <w:rStyle w:val="CharacterStyle2"/>
          <w:rFonts w:asciiTheme="majorHAnsi" w:hAnsiTheme="majorHAnsi" w:cs="Times New Roman"/>
          <w:b/>
          <w:bCs/>
          <w:spacing w:val="1"/>
          <w:sz w:val="28"/>
          <w:szCs w:val="28"/>
        </w:rPr>
        <w:t xml:space="preserve">adeguata e specifica linea difensiva, senza che tale interpretazione </w:t>
      </w:r>
      <w:r w:rsidRPr="00C81C83">
        <w:rPr>
          <w:rStyle w:val="CharacterStyle2"/>
          <w:rFonts w:asciiTheme="majorHAnsi" w:hAnsiTheme="majorHAnsi" w:cs="Times New Roman"/>
          <w:b/>
          <w:bCs/>
          <w:spacing w:val="-5"/>
          <w:sz w:val="28"/>
          <w:szCs w:val="28"/>
        </w:rPr>
        <w:t xml:space="preserve">contrasti con il diritto comunitario, in quanto il maggior grado di tutela </w:t>
      </w:r>
      <w:r w:rsidRPr="00C81C83">
        <w:rPr>
          <w:rStyle w:val="CharacterStyle2"/>
          <w:rFonts w:asciiTheme="majorHAnsi" w:hAnsiTheme="majorHAnsi" w:cs="Times New Roman"/>
          <w:b/>
          <w:bCs/>
          <w:spacing w:val="3"/>
          <w:sz w:val="28"/>
          <w:szCs w:val="28"/>
        </w:rPr>
        <w:t xml:space="preserve">previsto a livello interno per i tributi non armonizzati dall'art. 12, </w:t>
      </w:r>
      <w:r w:rsidRPr="00C81C83">
        <w:rPr>
          <w:rStyle w:val="CharacterStyle2"/>
          <w:rFonts w:asciiTheme="majorHAnsi" w:hAnsiTheme="majorHAnsi" w:cs="Times New Roman"/>
          <w:b/>
          <w:bCs/>
          <w:spacing w:val="-6"/>
          <w:sz w:val="28"/>
          <w:szCs w:val="28"/>
        </w:rPr>
        <w:t xml:space="preserve">comma 7, della legge n. 212 del 2000, per come interpretato dal diritto </w:t>
      </w:r>
      <w:r w:rsidRPr="00C81C83">
        <w:rPr>
          <w:rStyle w:val="CharacterStyle2"/>
          <w:rFonts w:asciiTheme="majorHAnsi" w:hAnsiTheme="majorHAnsi" w:cs="Times New Roman"/>
          <w:b/>
          <w:bCs/>
          <w:spacing w:val="-3"/>
          <w:sz w:val="28"/>
          <w:szCs w:val="28"/>
        </w:rPr>
        <w:t xml:space="preserve">vivente </w:t>
      </w:r>
      <w:r w:rsidR="0039320E" w:rsidRPr="00C81C83">
        <w:rPr>
          <w:rStyle w:val="CharacterStyle2"/>
          <w:rFonts w:asciiTheme="majorHAnsi" w:hAnsiTheme="majorHAnsi" w:cs="Times New Roman"/>
          <w:b/>
          <w:bCs/>
          <w:spacing w:val="-3"/>
          <w:sz w:val="28"/>
          <w:szCs w:val="28"/>
        </w:rPr>
        <w:t>della</w:t>
      </w:r>
      <w:r w:rsidRPr="00C81C83">
        <w:rPr>
          <w:rStyle w:val="CharacterStyle2"/>
          <w:rFonts w:asciiTheme="majorHAnsi" w:hAnsiTheme="majorHAnsi" w:cs="Times New Roman"/>
          <w:b/>
          <w:bCs/>
          <w:spacing w:val="-3"/>
          <w:sz w:val="28"/>
          <w:szCs w:val="28"/>
        </w:rPr>
        <w:t xml:space="preserve"> Corte</w:t>
      </w:r>
      <w:r w:rsidR="0039320E" w:rsidRPr="00C81C83">
        <w:rPr>
          <w:rStyle w:val="CharacterStyle2"/>
          <w:rFonts w:asciiTheme="majorHAnsi" w:hAnsiTheme="majorHAnsi" w:cs="Times New Roman"/>
          <w:b/>
          <w:bCs/>
          <w:spacing w:val="-3"/>
          <w:sz w:val="28"/>
          <w:szCs w:val="28"/>
        </w:rPr>
        <w:t xml:space="preserve"> di Cassazione</w:t>
      </w:r>
      <w:r w:rsidRPr="00C81C83">
        <w:rPr>
          <w:rStyle w:val="CharacterStyle2"/>
          <w:rFonts w:asciiTheme="majorHAnsi" w:hAnsiTheme="majorHAnsi" w:cs="Times New Roman"/>
          <w:b/>
          <w:bCs/>
          <w:spacing w:val="-3"/>
          <w:sz w:val="28"/>
          <w:szCs w:val="28"/>
        </w:rPr>
        <w:t xml:space="preserve">, si muove in armonia piena con il principio di </w:t>
      </w:r>
      <w:r w:rsidRPr="00C81C83">
        <w:rPr>
          <w:rStyle w:val="CharacterStyle2"/>
          <w:rFonts w:asciiTheme="majorHAnsi" w:hAnsiTheme="majorHAnsi" w:cs="Times New Roman"/>
          <w:b/>
          <w:bCs/>
          <w:spacing w:val="-1"/>
          <w:sz w:val="28"/>
          <w:szCs w:val="28"/>
        </w:rPr>
        <w:t xml:space="preserve">massimizzazione delle tutele, che consente ad un singolo ordinamento di apprestare livelli di protezione di un diritto fondamentale, quale è </w:t>
      </w:r>
      <w:r w:rsidRPr="00C81C83">
        <w:rPr>
          <w:rStyle w:val="CharacterStyle2"/>
          <w:rFonts w:asciiTheme="majorHAnsi" w:hAnsiTheme="majorHAnsi" w:cs="Times New Roman"/>
          <w:b/>
          <w:bCs/>
          <w:spacing w:val="8"/>
          <w:sz w:val="28"/>
          <w:szCs w:val="28"/>
        </w:rPr>
        <w:t xml:space="preserve">sicuramente quello al contraddittorio, più ampi rispetto a quelli </w:t>
      </w:r>
      <w:r w:rsidRPr="00C81C83">
        <w:rPr>
          <w:rStyle w:val="CharacterStyle2"/>
          <w:rFonts w:asciiTheme="majorHAnsi" w:hAnsiTheme="majorHAnsi" w:cs="Times New Roman"/>
          <w:b/>
          <w:bCs/>
          <w:sz w:val="28"/>
          <w:szCs w:val="28"/>
        </w:rPr>
        <w:t xml:space="preserve">garantiti dal sistema </w:t>
      </w:r>
      <w:proofErr w:type="spellStart"/>
      <w:r w:rsidRPr="00C81C83">
        <w:rPr>
          <w:rStyle w:val="CharacterStyle2"/>
          <w:rFonts w:asciiTheme="majorHAnsi" w:hAnsiTheme="majorHAnsi" w:cs="Times New Roman"/>
          <w:b/>
          <w:bCs/>
          <w:sz w:val="28"/>
          <w:szCs w:val="28"/>
        </w:rPr>
        <w:t>eurounitario</w:t>
      </w:r>
      <w:proofErr w:type="spellEnd"/>
      <w:r w:rsidRPr="00C81C83">
        <w:rPr>
          <w:rStyle w:val="CharacterStyle2"/>
          <w:rFonts w:asciiTheme="majorHAnsi" w:hAnsiTheme="majorHAnsi" w:cs="Times New Roman"/>
          <w:b/>
          <w:bCs/>
          <w:sz w:val="28"/>
          <w:szCs w:val="28"/>
        </w:rPr>
        <w:t xml:space="preserve"> per i tributi non armonizzati.</w:t>
      </w:r>
    </w:p>
    <w:p w14:paraId="4D4AEE93" w14:textId="083DD965" w:rsidR="000170E0" w:rsidRPr="0039320E" w:rsidRDefault="000170E0" w:rsidP="00B86649">
      <w:pPr>
        <w:pStyle w:val="Style4"/>
        <w:kinsoku w:val="0"/>
        <w:autoSpaceDE/>
        <w:autoSpaceDN/>
        <w:spacing w:before="0"/>
        <w:rPr>
          <w:rStyle w:val="CharacterStyle2"/>
          <w:rFonts w:asciiTheme="majorHAnsi" w:hAnsiTheme="majorHAnsi" w:cs="Times New Roman"/>
          <w:b/>
          <w:bCs/>
          <w:spacing w:val="-2"/>
          <w:sz w:val="28"/>
          <w:szCs w:val="28"/>
        </w:rPr>
      </w:pPr>
      <w:r w:rsidRPr="007C0479">
        <w:rPr>
          <w:rStyle w:val="CharacterStyle2"/>
          <w:rFonts w:asciiTheme="majorHAnsi" w:hAnsiTheme="majorHAnsi" w:cs="Times New Roman"/>
          <w:spacing w:val="7"/>
          <w:sz w:val="28"/>
          <w:szCs w:val="28"/>
        </w:rPr>
        <w:t>Tanto premesso</w:t>
      </w:r>
      <w:r w:rsidR="0039320E">
        <w:rPr>
          <w:rStyle w:val="CharacterStyle2"/>
          <w:rFonts w:asciiTheme="majorHAnsi" w:hAnsiTheme="majorHAnsi" w:cs="Times New Roman"/>
          <w:spacing w:val="7"/>
          <w:sz w:val="28"/>
          <w:szCs w:val="28"/>
        </w:rPr>
        <w:t>,</w:t>
      </w:r>
      <w:r w:rsidRPr="007C0479">
        <w:rPr>
          <w:rStyle w:val="CharacterStyle2"/>
          <w:rFonts w:asciiTheme="majorHAnsi" w:hAnsiTheme="majorHAnsi" w:cs="Times New Roman"/>
          <w:spacing w:val="7"/>
          <w:sz w:val="28"/>
          <w:szCs w:val="28"/>
        </w:rPr>
        <w:t xml:space="preserve"> sugli effetti della violazione del termine </w:t>
      </w:r>
      <w:r w:rsidRPr="007C0479">
        <w:rPr>
          <w:rStyle w:val="CharacterStyle2"/>
          <w:rFonts w:asciiTheme="majorHAnsi" w:hAnsiTheme="majorHAnsi" w:cs="Times New Roman"/>
          <w:sz w:val="28"/>
          <w:szCs w:val="28"/>
        </w:rPr>
        <w:t xml:space="preserve">dilatorio di cui all' art. 12, comma 7, della legge n. 212 del 2000, è </w:t>
      </w:r>
      <w:r w:rsidRPr="007C0479">
        <w:rPr>
          <w:rStyle w:val="CharacterStyle2"/>
          <w:rFonts w:asciiTheme="majorHAnsi" w:hAnsiTheme="majorHAnsi" w:cs="Times New Roman"/>
          <w:spacing w:val="-7"/>
          <w:sz w:val="28"/>
          <w:szCs w:val="28"/>
        </w:rPr>
        <w:t xml:space="preserve">opportuno precisare, per quanto qui interessa, che esso è ritenuto dalla </w:t>
      </w:r>
      <w:r w:rsidRPr="007C0479">
        <w:rPr>
          <w:rStyle w:val="CharacterStyle2"/>
          <w:rFonts w:asciiTheme="majorHAnsi" w:hAnsiTheme="majorHAnsi" w:cs="Times New Roman"/>
          <w:spacing w:val="5"/>
          <w:sz w:val="28"/>
          <w:szCs w:val="28"/>
        </w:rPr>
        <w:t xml:space="preserve">giurisprudenza </w:t>
      </w:r>
      <w:r w:rsidR="0039320E">
        <w:rPr>
          <w:rStyle w:val="CharacterStyle2"/>
          <w:rFonts w:asciiTheme="majorHAnsi" w:hAnsiTheme="majorHAnsi" w:cs="Times New Roman"/>
          <w:spacing w:val="5"/>
          <w:sz w:val="28"/>
          <w:szCs w:val="28"/>
        </w:rPr>
        <w:t>della</w:t>
      </w:r>
      <w:r w:rsidRPr="007C0479">
        <w:rPr>
          <w:rStyle w:val="CharacterStyle2"/>
          <w:rFonts w:asciiTheme="majorHAnsi" w:hAnsiTheme="majorHAnsi" w:cs="Times New Roman"/>
          <w:spacing w:val="5"/>
          <w:sz w:val="28"/>
          <w:szCs w:val="28"/>
        </w:rPr>
        <w:t xml:space="preserve"> Corte</w:t>
      </w:r>
      <w:r w:rsidR="0039320E">
        <w:rPr>
          <w:rStyle w:val="CharacterStyle2"/>
          <w:rFonts w:asciiTheme="majorHAnsi" w:hAnsiTheme="majorHAnsi" w:cs="Times New Roman"/>
          <w:spacing w:val="5"/>
          <w:sz w:val="28"/>
          <w:szCs w:val="28"/>
        </w:rPr>
        <w:t xml:space="preserve"> di Cassazione</w:t>
      </w:r>
      <w:r w:rsidRPr="007C0479">
        <w:rPr>
          <w:rStyle w:val="CharacterStyle2"/>
          <w:rFonts w:asciiTheme="majorHAnsi" w:hAnsiTheme="majorHAnsi" w:cs="Times New Roman"/>
          <w:spacing w:val="5"/>
          <w:sz w:val="28"/>
          <w:szCs w:val="28"/>
        </w:rPr>
        <w:t xml:space="preserve"> applicabile, oltre che all'ipotesi di </w:t>
      </w:r>
      <w:r w:rsidRPr="007C0479">
        <w:rPr>
          <w:rStyle w:val="CharacterStyle2"/>
          <w:rFonts w:asciiTheme="majorHAnsi" w:hAnsiTheme="majorHAnsi" w:cs="Times New Roman"/>
          <w:spacing w:val="12"/>
          <w:sz w:val="28"/>
          <w:szCs w:val="28"/>
        </w:rPr>
        <w:t xml:space="preserve">verifica, </w:t>
      </w:r>
      <w:r w:rsidRPr="00C45D9D">
        <w:rPr>
          <w:rStyle w:val="CharacterStyle2"/>
          <w:rFonts w:asciiTheme="majorHAnsi" w:hAnsiTheme="majorHAnsi" w:cs="Times New Roman"/>
          <w:b/>
          <w:bCs/>
          <w:spacing w:val="12"/>
          <w:sz w:val="28"/>
          <w:szCs w:val="28"/>
        </w:rPr>
        <w:t>anche a quella di accesso</w:t>
      </w:r>
      <w:r w:rsidR="00C45D9D">
        <w:rPr>
          <w:rStyle w:val="CharacterStyle2"/>
          <w:rFonts w:asciiTheme="majorHAnsi" w:hAnsiTheme="majorHAnsi" w:cs="Times New Roman"/>
          <w:b/>
          <w:bCs/>
          <w:spacing w:val="12"/>
          <w:sz w:val="28"/>
          <w:szCs w:val="28"/>
        </w:rPr>
        <w:t>,</w:t>
      </w:r>
      <w:r w:rsidRPr="007C0479">
        <w:rPr>
          <w:rStyle w:val="CharacterStyle2"/>
          <w:rFonts w:asciiTheme="majorHAnsi" w:hAnsiTheme="majorHAnsi" w:cs="Times New Roman"/>
          <w:spacing w:val="12"/>
          <w:sz w:val="28"/>
          <w:szCs w:val="28"/>
        </w:rPr>
        <w:t xml:space="preserve"> concludendosi anche tale </w:t>
      </w:r>
      <w:r w:rsidRPr="007C0479">
        <w:rPr>
          <w:rStyle w:val="CharacterStyle2"/>
          <w:rFonts w:asciiTheme="majorHAnsi" w:hAnsiTheme="majorHAnsi" w:cs="Times New Roman"/>
          <w:sz w:val="28"/>
          <w:szCs w:val="28"/>
        </w:rPr>
        <w:t xml:space="preserve">accertamento con la sottoscrizione e consegna del processo verbale </w:t>
      </w:r>
      <w:r w:rsidRPr="007C0479">
        <w:rPr>
          <w:rStyle w:val="CharacterStyle2"/>
          <w:rFonts w:asciiTheme="majorHAnsi" w:hAnsiTheme="majorHAnsi" w:cs="Times New Roman"/>
          <w:spacing w:val="-3"/>
          <w:sz w:val="28"/>
          <w:szCs w:val="28"/>
        </w:rPr>
        <w:t xml:space="preserve">delle operazioni svolte (Cass. 05/02/2014, n. 2593) ed a qualsiasi atto </w:t>
      </w:r>
      <w:r w:rsidRPr="007C0479">
        <w:rPr>
          <w:rStyle w:val="CharacterStyle2"/>
          <w:rFonts w:asciiTheme="majorHAnsi" w:hAnsiTheme="majorHAnsi" w:cs="Times New Roman"/>
          <w:spacing w:val="13"/>
          <w:sz w:val="28"/>
          <w:szCs w:val="28"/>
        </w:rPr>
        <w:t xml:space="preserve">di accertamento o controllo con accesso o ispezione nei locali </w:t>
      </w:r>
      <w:r w:rsidRPr="007C0479">
        <w:rPr>
          <w:rStyle w:val="CharacterStyle2"/>
          <w:rFonts w:asciiTheme="majorHAnsi" w:hAnsiTheme="majorHAnsi" w:cs="Times New Roman"/>
          <w:sz w:val="28"/>
          <w:szCs w:val="28"/>
        </w:rPr>
        <w:t xml:space="preserve">dell'impresa, </w:t>
      </w:r>
      <w:r w:rsidRPr="00C45D9D">
        <w:rPr>
          <w:rStyle w:val="CharacterStyle2"/>
          <w:rFonts w:asciiTheme="majorHAnsi" w:hAnsiTheme="majorHAnsi" w:cs="Times New Roman"/>
          <w:b/>
          <w:bCs/>
          <w:sz w:val="28"/>
          <w:szCs w:val="28"/>
        </w:rPr>
        <w:t xml:space="preserve">ivi compresi gli atti di accesso istantanei finalizzati </w:t>
      </w:r>
      <w:r w:rsidRPr="00C45D9D">
        <w:rPr>
          <w:rStyle w:val="CharacterStyle2"/>
          <w:rFonts w:asciiTheme="majorHAnsi" w:hAnsiTheme="majorHAnsi" w:cs="Times New Roman"/>
          <w:b/>
          <w:bCs/>
          <w:spacing w:val="3"/>
          <w:sz w:val="28"/>
          <w:szCs w:val="28"/>
        </w:rPr>
        <w:t>all'acquisizione di documentazione,</w:t>
      </w:r>
      <w:r w:rsidRPr="007C0479">
        <w:rPr>
          <w:rStyle w:val="CharacterStyle2"/>
          <w:rFonts w:asciiTheme="majorHAnsi" w:hAnsiTheme="majorHAnsi" w:cs="Times New Roman"/>
          <w:spacing w:val="3"/>
          <w:sz w:val="28"/>
          <w:szCs w:val="28"/>
        </w:rPr>
        <w:t xml:space="preserve"> sia perché la citata disposizione </w:t>
      </w:r>
      <w:r w:rsidRPr="007C0479">
        <w:rPr>
          <w:rStyle w:val="CharacterStyle2"/>
          <w:rFonts w:asciiTheme="majorHAnsi" w:hAnsiTheme="majorHAnsi" w:cs="Times New Roman"/>
          <w:sz w:val="28"/>
          <w:szCs w:val="28"/>
        </w:rPr>
        <w:t xml:space="preserve">non prevede alcuna distinzione in ordine alla durata dell'accesso, in esito al quale comunque deve essere redatto un verbale di chiusura </w:t>
      </w:r>
      <w:r w:rsidRPr="007C0479">
        <w:rPr>
          <w:rStyle w:val="CharacterStyle2"/>
          <w:rFonts w:asciiTheme="majorHAnsi" w:hAnsiTheme="majorHAnsi" w:cs="Times New Roman"/>
          <w:spacing w:val="-5"/>
          <w:sz w:val="28"/>
          <w:szCs w:val="28"/>
        </w:rPr>
        <w:lastRenderedPageBreak/>
        <w:t>delle operazioni</w:t>
      </w:r>
      <w:r w:rsidR="0039320E">
        <w:rPr>
          <w:rStyle w:val="CharacterStyle2"/>
          <w:rFonts w:asciiTheme="majorHAnsi" w:hAnsiTheme="majorHAnsi" w:cs="Times New Roman"/>
          <w:spacing w:val="-5"/>
          <w:sz w:val="28"/>
          <w:szCs w:val="28"/>
        </w:rPr>
        <w:t>,</w:t>
      </w:r>
      <w:r w:rsidRPr="007C0479">
        <w:rPr>
          <w:rStyle w:val="CharacterStyle2"/>
          <w:rFonts w:asciiTheme="majorHAnsi" w:hAnsiTheme="majorHAnsi" w:cs="Times New Roman"/>
          <w:spacing w:val="-5"/>
          <w:sz w:val="28"/>
          <w:szCs w:val="28"/>
        </w:rPr>
        <w:t xml:space="preserve"> </w:t>
      </w:r>
      <w:r w:rsidRPr="0039320E">
        <w:rPr>
          <w:rStyle w:val="CharacterStyle2"/>
          <w:rFonts w:asciiTheme="majorHAnsi" w:hAnsiTheme="majorHAnsi" w:cs="Times New Roman"/>
          <w:b/>
          <w:bCs/>
          <w:spacing w:val="-5"/>
          <w:sz w:val="28"/>
          <w:szCs w:val="28"/>
        </w:rPr>
        <w:t xml:space="preserve">sia perché, anche in caso di accesso breve, si verifica </w:t>
      </w:r>
      <w:r w:rsidRPr="0039320E">
        <w:rPr>
          <w:rStyle w:val="CharacterStyle2"/>
          <w:rFonts w:asciiTheme="majorHAnsi" w:hAnsiTheme="majorHAnsi" w:cs="Times New Roman"/>
          <w:b/>
          <w:bCs/>
          <w:spacing w:val="13"/>
          <w:sz w:val="28"/>
          <w:szCs w:val="28"/>
        </w:rPr>
        <w:t xml:space="preserve">l'intromissione autoritativa dell'amministrazione nei luoghi di </w:t>
      </w:r>
      <w:r w:rsidRPr="0039320E">
        <w:rPr>
          <w:rStyle w:val="CharacterStyle2"/>
          <w:rFonts w:asciiTheme="majorHAnsi" w:hAnsiTheme="majorHAnsi" w:cs="Times New Roman"/>
          <w:b/>
          <w:bCs/>
          <w:spacing w:val="1"/>
          <w:sz w:val="28"/>
          <w:szCs w:val="28"/>
        </w:rPr>
        <w:t xml:space="preserve">pertinenza del contribuente, che deve essere controbilanciata dalle </w:t>
      </w:r>
      <w:r w:rsidRPr="0039320E">
        <w:rPr>
          <w:rStyle w:val="CharacterStyle2"/>
          <w:rFonts w:asciiTheme="majorHAnsi" w:hAnsiTheme="majorHAnsi" w:cs="Times New Roman"/>
          <w:b/>
          <w:bCs/>
          <w:spacing w:val="-7"/>
          <w:sz w:val="28"/>
          <w:szCs w:val="28"/>
        </w:rPr>
        <w:t xml:space="preserve">garanzie di cui al citato articolo 12 (Cass. 21/11/2018, n. 30026; Cass. </w:t>
      </w:r>
      <w:r w:rsidRPr="0039320E">
        <w:rPr>
          <w:rStyle w:val="CharacterStyle2"/>
          <w:rFonts w:asciiTheme="majorHAnsi" w:hAnsiTheme="majorHAnsi" w:cs="Times New Roman"/>
          <w:b/>
          <w:bCs/>
          <w:spacing w:val="-2"/>
          <w:sz w:val="28"/>
          <w:szCs w:val="28"/>
        </w:rPr>
        <w:t>09/07/2014, n. 15624).</w:t>
      </w:r>
    </w:p>
    <w:p w14:paraId="38CC6A86" w14:textId="4781F418" w:rsidR="00B86649" w:rsidRPr="001367B5" w:rsidRDefault="00B86649" w:rsidP="00B86649">
      <w:pPr>
        <w:pStyle w:val="Style4"/>
        <w:spacing w:before="0"/>
        <w:rPr>
          <w:rFonts w:asciiTheme="majorHAnsi" w:hAnsiTheme="majorHAnsi" w:cs="Times New Roman"/>
          <w:b/>
          <w:bCs/>
          <w:spacing w:val="14"/>
          <w:sz w:val="28"/>
          <w:szCs w:val="28"/>
        </w:rPr>
      </w:pPr>
      <w:r w:rsidRPr="001367B5">
        <w:rPr>
          <w:rFonts w:asciiTheme="majorHAnsi" w:hAnsiTheme="majorHAnsi" w:cs="Times New Roman"/>
          <w:b/>
          <w:bCs/>
          <w:spacing w:val="14"/>
          <w:sz w:val="28"/>
          <w:szCs w:val="28"/>
        </w:rPr>
        <w:t>Il vizio invalidante non consiste nella mera omessa enunciazione nell'atto dei motivi di urgenza che ne hanno determinato l'emissione anticipata, bensì nell'effettiva assenza di detto requisito (esonerativo dall'osservanza del termine), la cui ricorrenza, nella concreta fattispecie e all'epoca di tale emissione, deve essere provata dall'ufficio</w:t>
      </w:r>
      <w:r w:rsidR="001367B5" w:rsidRPr="001367B5">
        <w:rPr>
          <w:rFonts w:asciiTheme="majorHAnsi" w:hAnsiTheme="majorHAnsi" w:cs="Times New Roman"/>
          <w:b/>
          <w:bCs/>
          <w:spacing w:val="14"/>
          <w:sz w:val="28"/>
          <w:szCs w:val="28"/>
        </w:rPr>
        <w:t>.</w:t>
      </w:r>
    </w:p>
    <w:p w14:paraId="151F5BD7" w14:textId="421EA954" w:rsidR="00B86649" w:rsidRPr="006D5D73" w:rsidRDefault="00B86649" w:rsidP="00B86649">
      <w:pPr>
        <w:pStyle w:val="Style4"/>
        <w:spacing w:before="0"/>
        <w:rPr>
          <w:rFonts w:asciiTheme="majorHAnsi" w:hAnsiTheme="majorHAnsi" w:cs="Times New Roman"/>
          <w:b/>
          <w:bCs/>
          <w:spacing w:val="14"/>
          <w:sz w:val="28"/>
          <w:szCs w:val="28"/>
        </w:rPr>
      </w:pPr>
      <w:r w:rsidRPr="00B86649">
        <w:rPr>
          <w:rFonts w:asciiTheme="majorHAnsi" w:hAnsiTheme="majorHAnsi" w:cs="Times New Roman"/>
          <w:spacing w:val="14"/>
          <w:sz w:val="28"/>
          <w:szCs w:val="28"/>
        </w:rPr>
        <w:t xml:space="preserve">Va anche considerato che, in materia di garanzie del contribuente sottoposto a verifiche fiscali, la scadenza del termine di decadenza dell'azione accertativa non rappresenta una ragione di urgenza tutelabile ai fini dell'inosservanza del termine dilatorio di cui all'art. 12, comma 7, della </w:t>
      </w:r>
      <w:r w:rsidRPr="007C0479">
        <w:rPr>
          <w:rFonts w:asciiTheme="majorHAnsi" w:hAnsiTheme="majorHAnsi" w:cs="Times New Roman"/>
          <w:spacing w:val="14"/>
          <w:sz w:val="28"/>
          <w:szCs w:val="28"/>
        </w:rPr>
        <w:t>L</w:t>
      </w:r>
      <w:r w:rsidRPr="00B86649">
        <w:rPr>
          <w:rFonts w:asciiTheme="majorHAnsi" w:hAnsiTheme="majorHAnsi" w:cs="Times New Roman"/>
          <w:spacing w:val="14"/>
          <w:sz w:val="28"/>
          <w:szCs w:val="28"/>
        </w:rPr>
        <w:t>. n. 212 del 2000 (Cass.</w:t>
      </w:r>
      <w:r w:rsidRPr="007C0479">
        <w:rPr>
          <w:rFonts w:asciiTheme="majorHAnsi" w:hAnsiTheme="majorHAnsi" w:cs="Times New Roman"/>
          <w:spacing w:val="14"/>
          <w:sz w:val="28"/>
          <w:szCs w:val="28"/>
        </w:rPr>
        <w:t xml:space="preserve"> </w:t>
      </w:r>
      <w:proofErr w:type="spellStart"/>
      <w:r w:rsidRPr="00B86649">
        <w:rPr>
          <w:rFonts w:asciiTheme="majorHAnsi" w:hAnsiTheme="majorHAnsi" w:cs="Times New Roman"/>
          <w:spacing w:val="14"/>
          <w:sz w:val="28"/>
          <w:szCs w:val="28"/>
        </w:rPr>
        <w:t>Civ</w:t>
      </w:r>
      <w:proofErr w:type="spellEnd"/>
      <w:r w:rsidRPr="00B86649">
        <w:rPr>
          <w:rFonts w:asciiTheme="majorHAnsi" w:hAnsiTheme="majorHAnsi" w:cs="Times New Roman"/>
          <w:spacing w:val="14"/>
          <w:sz w:val="28"/>
          <w:szCs w:val="28"/>
        </w:rPr>
        <w:t xml:space="preserve">., </w:t>
      </w:r>
      <w:r w:rsidRPr="007C0479">
        <w:rPr>
          <w:rFonts w:asciiTheme="majorHAnsi" w:hAnsiTheme="majorHAnsi" w:cs="Times New Roman"/>
          <w:spacing w:val="14"/>
          <w:sz w:val="28"/>
          <w:szCs w:val="28"/>
        </w:rPr>
        <w:t>1</w:t>
      </w:r>
      <w:r w:rsidRPr="00B86649">
        <w:rPr>
          <w:rFonts w:asciiTheme="majorHAnsi" w:hAnsiTheme="majorHAnsi" w:cs="Times New Roman"/>
          <w:spacing w:val="14"/>
          <w:sz w:val="28"/>
          <w:szCs w:val="28"/>
        </w:rPr>
        <w:t xml:space="preserve">0 aprile 2018, n. 8749), </w:t>
      </w:r>
      <w:r w:rsidRPr="006D5D73">
        <w:rPr>
          <w:rFonts w:asciiTheme="majorHAnsi" w:hAnsiTheme="majorHAnsi" w:cs="Times New Roman"/>
          <w:b/>
          <w:bCs/>
          <w:spacing w:val="14"/>
          <w:sz w:val="28"/>
          <w:szCs w:val="28"/>
        </w:rPr>
        <w:t xml:space="preserve">ben potendo, invece, l'amministrazione offrire come giustificazione dell'urgenza la prova che l'esercizio nell'imminenza della scadenza del termine sia dipeso da fattori ad essa non imputabili che hanno inciso sull'attività accertativa fino al punto da rendere comunque necessaria l'attivazione dell'accertamento, a pena di vedere dissolta la finalità di recupero delle imposte ritenute non versate dal contribuente. </w:t>
      </w:r>
    </w:p>
    <w:p w14:paraId="6F1313AE" w14:textId="77777777" w:rsidR="00B86649" w:rsidRPr="00B86649" w:rsidRDefault="00B86649" w:rsidP="00B86649">
      <w:pPr>
        <w:pStyle w:val="Style4"/>
        <w:spacing w:before="0"/>
        <w:rPr>
          <w:rFonts w:asciiTheme="majorHAnsi" w:hAnsiTheme="majorHAnsi" w:cs="Times New Roman"/>
          <w:spacing w:val="14"/>
          <w:sz w:val="28"/>
          <w:szCs w:val="28"/>
        </w:rPr>
      </w:pPr>
      <w:r w:rsidRPr="00506BF9">
        <w:rPr>
          <w:rFonts w:asciiTheme="majorHAnsi" w:hAnsiTheme="majorHAnsi" w:cs="Times New Roman"/>
          <w:b/>
          <w:bCs/>
          <w:spacing w:val="14"/>
          <w:sz w:val="28"/>
          <w:szCs w:val="28"/>
        </w:rPr>
        <w:t>Non è, quindi, l'imminenza della scadenza del termine ad integrare l'urgenza, ma, semmai, l'insorgenza di fatti concreti e precisi che possono rendere giustificata l'attivazione dell'ufficio quando non può più essere rispettato il termine dilatorio a pena di vedere decaduta l'amministrazione</w:t>
      </w:r>
      <w:r w:rsidRPr="00B86649">
        <w:rPr>
          <w:rFonts w:asciiTheme="majorHAnsi" w:hAnsiTheme="majorHAnsi" w:cs="Times New Roman"/>
          <w:spacing w:val="14"/>
          <w:sz w:val="28"/>
          <w:szCs w:val="28"/>
        </w:rPr>
        <w:t xml:space="preserve"> (per esempio in caso di reiterate violazioni delle leggi tributarie aventi rilevanza penale oppure per la partecipazione del contribuente ad una frode fiscale come da Cass.</w:t>
      </w:r>
      <w:r w:rsidRPr="007C0479">
        <w:rPr>
          <w:rFonts w:asciiTheme="majorHAnsi" w:hAnsiTheme="majorHAnsi" w:cs="Times New Roman"/>
          <w:spacing w:val="14"/>
          <w:sz w:val="28"/>
          <w:szCs w:val="28"/>
        </w:rPr>
        <w:t xml:space="preserve"> </w:t>
      </w:r>
      <w:proofErr w:type="spellStart"/>
      <w:r w:rsidRPr="00B86649">
        <w:rPr>
          <w:rFonts w:asciiTheme="majorHAnsi" w:hAnsiTheme="majorHAnsi" w:cs="Times New Roman"/>
          <w:spacing w:val="14"/>
          <w:sz w:val="28"/>
          <w:szCs w:val="28"/>
        </w:rPr>
        <w:t>Civ</w:t>
      </w:r>
      <w:proofErr w:type="spellEnd"/>
      <w:r w:rsidRPr="00B86649">
        <w:rPr>
          <w:rFonts w:asciiTheme="majorHAnsi" w:hAnsiTheme="majorHAnsi" w:cs="Times New Roman"/>
          <w:spacing w:val="14"/>
          <w:sz w:val="28"/>
          <w:szCs w:val="28"/>
        </w:rPr>
        <w:t xml:space="preserve">., </w:t>
      </w:r>
      <w:r w:rsidRPr="007C0479">
        <w:rPr>
          <w:rFonts w:asciiTheme="majorHAnsi" w:hAnsiTheme="majorHAnsi" w:cs="Times New Roman"/>
          <w:spacing w:val="14"/>
          <w:sz w:val="28"/>
          <w:szCs w:val="28"/>
        </w:rPr>
        <w:t>S</w:t>
      </w:r>
      <w:r w:rsidRPr="00B86649">
        <w:rPr>
          <w:rFonts w:asciiTheme="majorHAnsi" w:hAnsiTheme="majorHAnsi" w:cs="Times New Roman"/>
          <w:spacing w:val="14"/>
          <w:sz w:val="28"/>
          <w:szCs w:val="28"/>
        </w:rPr>
        <w:t>ez. 6-5, 2 luglio 2018, n. 17211).</w:t>
      </w:r>
    </w:p>
    <w:p w14:paraId="2AFF5C4F" w14:textId="6FA3E965" w:rsidR="00B86649" w:rsidRPr="007C0479" w:rsidRDefault="00B86649" w:rsidP="00800037">
      <w:pPr>
        <w:pStyle w:val="Style4"/>
        <w:spacing w:before="0"/>
        <w:ind w:left="0"/>
        <w:rPr>
          <w:rFonts w:asciiTheme="majorHAnsi" w:hAnsiTheme="majorHAnsi" w:cs="Times New Roman"/>
          <w:spacing w:val="14"/>
          <w:sz w:val="28"/>
          <w:szCs w:val="28"/>
        </w:rPr>
      </w:pPr>
      <w:r w:rsidRPr="007C0479">
        <w:rPr>
          <w:rFonts w:asciiTheme="majorHAnsi" w:hAnsiTheme="majorHAnsi" w:cs="Times New Roman"/>
          <w:spacing w:val="14"/>
          <w:sz w:val="28"/>
          <w:szCs w:val="28"/>
        </w:rPr>
        <w:lastRenderedPageBreak/>
        <w:t>Né la sanzione della illegittimità dell'avviso per il mancato rispetto del termine dilatorio dei sessanta giorni può essere irrogata solo qualora il contribuente dimostri che il minor termine gli ha precluso di predisporre una adeguata e specifica linea difensiva</w:t>
      </w:r>
      <w:r w:rsidR="003A617F">
        <w:rPr>
          <w:rFonts w:asciiTheme="majorHAnsi" w:hAnsiTheme="majorHAnsi" w:cs="Times New Roman"/>
          <w:spacing w:val="14"/>
          <w:sz w:val="28"/>
          <w:szCs w:val="28"/>
        </w:rPr>
        <w:t>.</w:t>
      </w:r>
      <w:r w:rsidRPr="007C0479">
        <w:rPr>
          <w:rFonts w:asciiTheme="majorHAnsi" w:hAnsiTheme="majorHAnsi" w:cs="Times New Roman"/>
          <w:spacing w:val="14"/>
          <w:sz w:val="28"/>
          <w:szCs w:val="28"/>
        </w:rPr>
        <w:t xml:space="preserve"> </w:t>
      </w:r>
    </w:p>
    <w:p w14:paraId="218513D9" w14:textId="646013B0" w:rsidR="00B23019" w:rsidRPr="007C0479" w:rsidRDefault="00B86649" w:rsidP="00800037">
      <w:pPr>
        <w:pStyle w:val="Style4"/>
        <w:spacing w:before="0"/>
        <w:ind w:left="0"/>
        <w:rPr>
          <w:rFonts w:asciiTheme="majorHAnsi" w:hAnsiTheme="majorHAnsi" w:cs="Times New Roman"/>
          <w:spacing w:val="14"/>
          <w:sz w:val="28"/>
          <w:szCs w:val="28"/>
        </w:rPr>
      </w:pPr>
      <w:r w:rsidRPr="007C0479">
        <w:rPr>
          <w:rFonts w:asciiTheme="majorHAnsi" w:hAnsiTheme="majorHAnsi" w:cs="Times New Roman"/>
          <w:spacing w:val="14"/>
          <w:sz w:val="28"/>
          <w:szCs w:val="28"/>
        </w:rPr>
        <w:t>Tale termine deve essere, infatti, rispettato a prescindere dalla allegazione da parte del contribuente di avere sub</w:t>
      </w:r>
      <w:r w:rsidR="00B23019" w:rsidRPr="007C0479">
        <w:rPr>
          <w:rFonts w:asciiTheme="majorHAnsi" w:hAnsiTheme="majorHAnsi" w:cs="Times New Roman"/>
          <w:spacing w:val="14"/>
          <w:sz w:val="28"/>
          <w:szCs w:val="28"/>
        </w:rPr>
        <w:t>ì</w:t>
      </w:r>
      <w:r w:rsidRPr="007C0479">
        <w:rPr>
          <w:rFonts w:asciiTheme="majorHAnsi" w:hAnsiTheme="majorHAnsi" w:cs="Times New Roman"/>
          <w:spacing w:val="14"/>
          <w:sz w:val="28"/>
          <w:szCs w:val="28"/>
        </w:rPr>
        <w:t xml:space="preserve">to uno specifico </w:t>
      </w:r>
      <w:r w:rsidR="0096724A">
        <w:rPr>
          <w:rFonts w:asciiTheme="majorHAnsi" w:hAnsiTheme="majorHAnsi" w:cs="Times New Roman"/>
          <w:spacing w:val="14"/>
          <w:sz w:val="28"/>
          <w:szCs w:val="28"/>
        </w:rPr>
        <w:t>n</w:t>
      </w:r>
      <w:r w:rsidRPr="007C0479">
        <w:rPr>
          <w:rFonts w:asciiTheme="majorHAnsi" w:hAnsiTheme="majorHAnsi" w:cs="Times New Roman"/>
          <w:spacing w:val="14"/>
          <w:sz w:val="28"/>
          <w:szCs w:val="28"/>
        </w:rPr>
        <w:t xml:space="preserve">ocumento alla propria difesa, non avendo potuto produrre nel ristretto lasso temporale concesso, osservazioni, memorie e documenti. </w:t>
      </w:r>
    </w:p>
    <w:p w14:paraId="09573ACF" w14:textId="5BB39D8A" w:rsidR="00B86649" w:rsidRPr="003F1566" w:rsidRDefault="00B86649" w:rsidP="00800037">
      <w:pPr>
        <w:pStyle w:val="Style4"/>
        <w:spacing w:before="0"/>
        <w:ind w:left="0"/>
        <w:rPr>
          <w:rFonts w:asciiTheme="majorHAnsi" w:hAnsiTheme="majorHAnsi" w:cs="Times New Roman"/>
          <w:b/>
          <w:bCs/>
          <w:spacing w:val="14"/>
          <w:sz w:val="28"/>
          <w:szCs w:val="28"/>
        </w:rPr>
      </w:pPr>
      <w:r w:rsidRPr="003F1566">
        <w:rPr>
          <w:rFonts w:asciiTheme="majorHAnsi" w:hAnsiTheme="majorHAnsi" w:cs="Times New Roman"/>
          <w:b/>
          <w:bCs/>
          <w:spacing w:val="14"/>
          <w:sz w:val="28"/>
          <w:szCs w:val="28"/>
        </w:rPr>
        <w:t>Il termine è</w:t>
      </w:r>
      <w:r w:rsidR="003A617F" w:rsidRPr="003F1566">
        <w:rPr>
          <w:rFonts w:asciiTheme="majorHAnsi" w:hAnsiTheme="majorHAnsi" w:cs="Times New Roman"/>
          <w:b/>
          <w:bCs/>
          <w:spacing w:val="14"/>
          <w:sz w:val="28"/>
          <w:szCs w:val="28"/>
        </w:rPr>
        <w:t>,</w:t>
      </w:r>
      <w:r w:rsidRPr="003F1566">
        <w:rPr>
          <w:rFonts w:asciiTheme="majorHAnsi" w:hAnsiTheme="majorHAnsi" w:cs="Times New Roman"/>
          <w:b/>
          <w:bCs/>
          <w:spacing w:val="14"/>
          <w:sz w:val="28"/>
          <w:szCs w:val="28"/>
        </w:rPr>
        <w:t xml:space="preserve"> infatti</w:t>
      </w:r>
      <w:r w:rsidR="003A617F" w:rsidRPr="003F1566">
        <w:rPr>
          <w:rFonts w:asciiTheme="majorHAnsi" w:hAnsiTheme="majorHAnsi" w:cs="Times New Roman"/>
          <w:b/>
          <w:bCs/>
          <w:spacing w:val="14"/>
          <w:sz w:val="28"/>
          <w:szCs w:val="28"/>
        </w:rPr>
        <w:t>,</w:t>
      </w:r>
      <w:r w:rsidRPr="003F1566">
        <w:rPr>
          <w:rFonts w:asciiTheme="majorHAnsi" w:hAnsiTheme="majorHAnsi" w:cs="Times New Roman"/>
          <w:b/>
          <w:bCs/>
          <w:spacing w:val="14"/>
          <w:sz w:val="28"/>
          <w:szCs w:val="28"/>
        </w:rPr>
        <w:t xml:space="preserve"> stabilito a presidio del pieno dispiegarsi del contraddittorio procedimentale, espressione dei principi di collaborazione e di buona fede</w:t>
      </w:r>
      <w:r w:rsidR="00BD3A5F" w:rsidRPr="003F1566">
        <w:rPr>
          <w:rFonts w:asciiTheme="majorHAnsi" w:hAnsiTheme="majorHAnsi" w:cs="Times New Roman"/>
          <w:b/>
          <w:bCs/>
          <w:spacing w:val="14"/>
          <w:sz w:val="28"/>
          <w:szCs w:val="28"/>
        </w:rPr>
        <w:t xml:space="preserve"> (Cassazione, Sez. Tributaria, ordinanze n. 27623/2018 e 16971/2019)</w:t>
      </w:r>
      <w:r w:rsidRPr="003F1566">
        <w:rPr>
          <w:rFonts w:asciiTheme="majorHAnsi" w:hAnsiTheme="majorHAnsi" w:cs="Times New Roman"/>
          <w:b/>
          <w:bCs/>
          <w:spacing w:val="14"/>
          <w:sz w:val="28"/>
          <w:szCs w:val="28"/>
        </w:rPr>
        <w:t>.</w:t>
      </w:r>
    </w:p>
    <w:p w14:paraId="7277DBE8" w14:textId="497B0D82" w:rsidR="00B23019" w:rsidRPr="003F1566" w:rsidRDefault="00B86649" w:rsidP="00800037">
      <w:pPr>
        <w:pStyle w:val="Style4"/>
        <w:spacing w:before="0"/>
        <w:ind w:left="0"/>
        <w:rPr>
          <w:rFonts w:asciiTheme="majorHAnsi" w:hAnsiTheme="majorHAnsi" w:cs="Times New Roman"/>
          <w:b/>
          <w:bCs/>
          <w:spacing w:val="14"/>
          <w:sz w:val="28"/>
          <w:szCs w:val="28"/>
        </w:rPr>
      </w:pPr>
      <w:r w:rsidRPr="003F1566">
        <w:rPr>
          <w:rFonts w:asciiTheme="majorHAnsi" w:hAnsiTheme="majorHAnsi" w:cs="Times New Roman"/>
          <w:b/>
          <w:bCs/>
          <w:spacing w:val="14"/>
          <w:sz w:val="28"/>
          <w:szCs w:val="28"/>
        </w:rPr>
        <w:t>L'art. 12</w:t>
      </w:r>
      <w:r w:rsidR="003F1566" w:rsidRPr="003F1566">
        <w:rPr>
          <w:rFonts w:asciiTheme="majorHAnsi" w:hAnsiTheme="majorHAnsi" w:cs="Times New Roman"/>
          <w:b/>
          <w:bCs/>
          <w:spacing w:val="14"/>
          <w:sz w:val="28"/>
          <w:szCs w:val="28"/>
        </w:rPr>
        <w:t>,</w:t>
      </w:r>
      <w:r w:rsidRPr="003F1566">
        <w:rPr>
          <w:rFonts w:asciiTheme="majorHAnsi" w:hAnsiTheme="majorHAnsi" w:cs="Times New Roman"/>
          <w:b/>
          <w:bCs/>
          <w:spacing w:val="14"/>
          <w:sz w:val="28"/>
          <w:szCs w:val="28"/>
        </w:rPr>
        <w:t xml:space="preserve"> comma 7</w:t>
      </w:r>
      <w:r w:rsidR="003F1566" w:rsidRPr="003F1566">
        <w:rPr>
          <w:rFonts w:asciiTheme="majorHAnsi" w:hAnsiTheme="majorHAnsi" w:cs="Times New Roman"/>
          <w:b/>
          <w:bCs/>
          <w:spacing w:val="14"/>
          <w:sz w:val="28"/>
          <w:szCs w:val="28"/>
        </w:rPr>
        <w:t>,</w:t>
      </w:r>
      <w:r w:rsidRPr="003F1566">
        <w:rPr>
          <w:rFonts w:asciiTheme="majorHAnsi" w:hAnsiTheme="majorHAnsi" w:cs="Times New Roman"/>
          <w:b/>
          <w:bCs/>
          <w:spacing w:val="14"/>
          <w:sz w:val="28"/>
          <w:szCs w:val="28"/>
        </w:rPr>
        <w:t xml:space="preserve"> della legge 212/2000, dunque, non prevede, per le verifiche svolte nei locali del contribuente, la c.d. prova di resistenza al fine di rendere operante l'invalidità dell'atto emesso senza il rispetto del termine dilatorio di sessanta giorni. </w:t>
      </w:r>
    </w:p>
    <w:p w14:paraId="51DA8A8F" w14:textId="57D46BB7" w:rsidR="000170E0" w:rsidRPr="007C0479" w:rsidRDefault="00EB3541" w:rsidP="00B86649">
      <w:pPr>
        <w:pStyle w:val="Style5"/>
        <w:kinsoku w:val="0"/>
        <w:autoSpaceDE/>
        <w:autoSpaceDN/>
        <w:spacing w:before="0" w:after="0"/>
        <w:ind w:left="0" w:firstLine="0"/>
        <w:rPr>
          <w:rStyle w:val="CharacterStyle2"/>
          <w:rFonts w:asciiTheme="majorHAnsi" w:hAnsiTheme="majorHAnsi" w:cs="Times New Roman"/>
          <w:b/>
          <w:bCs/>
          <w:spacing w:val="3"/>
          <w:sz w:val="28"/>
          <w:szCs w:val="28"/>
        </w:rPr>
      </w:pPr>
      <w:r w:rsidRPr="007C0479">
        <w:rPr>
          <w:rStyle w:val="CharacterStyle2"/>
          <w:rFonts w:asciiTheme="majorHAnsi" w:hAnsiTheme="majorHAnsi" w:cs="Times New Roman"/>
          <w:b/>
          <w:bCs/>
          <w:spacing w:val="3"/>
          <w:sz w:val="28"/>
          <w:szCs w:val="28"/>
        </w:rPr>
        <w:t xml:space="preserve">Lecce, </w:t>
      </w:r>
      <w:r w:rsidR="003F1566">
        <w:rPr>
          <w:rStyle w:val="CharacterStyle2"/>
          <w:rFonts w:asciiTheme="majorHAnsi" w:hAnsiTheme="majorHAnsi" w:cs="Times New Roman"/>
          <w:b/>
          <w:bCs/>
          <w:spacing w:val="3"/>
          <w:sz w:val="28"/>
          <w:szCs w:val="28"/>
        </w:rPr>
        <w:t xml:space="preserve">18 </w:t>
      </w:r>
      <w:r w:rsidRPr="007C0479">
        <w:rPr>
          <w:rStyle w:val="CharacterStyle2"/>
          <w:rFonts w:asciiTheme="majorHAnsi" w:hAnsiTheme="majorHAnsi" w:cs="Times New Roman"/>
          <w:b/>
          <w:bCs/>
          <w:spacing w:val="3"/>
          <w:sz w:val="28"/>
          <w:szCs w:val="28"/>
        </w:rPr>
        <w:t>luglio 20</w:t>
      </w:r>
      <w:r w:rsidR="003F1566">
        <w:rPr>
          <w:rStyle w:val="CharacterStyle2"/>
          <w:rFonts w:asciiTheme="majorHAnsi" w:hAnsiTheme="majorHAnsi" w:cs="Times New Roman"/>
          <w:b/>
          <w:bCs/>
          <w:spacing w:val="3"/>
          <w:sz w:val="28"/>
          <w:szCs w:val="28"/>
        </w:rPr>
        <w:t>20</w:t>
      </w:r>
    </w:p>
    <w:p w14:paraId="480267B1" w14:textId="77777777" w:rsidR="00EB3541" w:rsidRPr="007C0479" w:rsidRDefault="00EB3541" w:rsidP="00B86649">
      <w:pPr>
        <w:pStyle w:val="Style5"/>
        <w:kinsoku w:val="0"/>
        <w:autoSpaceDE/>
        <w:autoSpaceDN/>
        <w:spacing w:before="0" w:after="0"/>
        <w:ind w:left="0" w:firstLine="0"/>
        <w:rPr>
          <w:rStyle w:val="CharacterStyle2"/>
          <w:rFonts w:asciiTheme="majorHAnsi" w:hAnsiTheme="majorHAnsi" w:cs="Times New Roman"/>
          <w:b/>
          <w:bCs/>
          <w:spacing w:val="3"/>
          <w:sz w:val="28"/>
          <w:szCs w:val="28"/>
        </w:rPr>
      </w:pPr>
    </w:p>
    <w:p w14:paraId="1F50BFAE" w14:textId="77777777" w:rsidR="00EB3541" w:rsidRPr="007C0479" w:rsidRDefault="00EB3541" w:rsidP="00B86649">
      <w:pPr>
        <w:spacing w:after="0" w:line="360" w:lineRule="auto"/>
        <w:ind w:left="-1530"/>
        <w:jc w:val="center"/>
        <w:rPr>
          <w:rFonts w:asciiTheme="majorHAnsi" w:eastAsia="Times New Roman" w:hAnsiTheme="majorHAnsi" w:cs="Times New Roman"/>
          <w:b/>
          <w:bCs/>
          <w:sz w:val="28"/>
          <w:szCs w:val="28"/>
          <w:lang w:eastAsia="it-IT"/>
        </w:rPr>
      </w:pPr>
      <w:r w:rsidRPr="007C0479">
        <w:rPr>
          <w:rFonts w:asciiTheme="majorHAnsi" w:eastAsia="Times New Roman" w:hAnsiTheme="majorHAnsi" w:cs="Times New Roman"/>
          <w:b/>
          <w:bCs/>
          <w:sz w:val="28"/>
          <w:szCs w:val="28"/>
          <w:lang w:eastAsia="it-IT"/>
        </w:rPr>
        <w:t>AVV. MAURIZIO VILLANI</w:t>
      </w:r>
    </w:p>
    <w:p w14:paraId="77D62989" w14:textId="77777777" w:rsidR="00EB3541" w:rsidRPr="007C0479" w:rsidRDefault="00EB3541" w:rsidP="00B86649">
      <w:pPr>
        <w:keepNext/>
        <w:spacing w:after="0" w:line="360" w:lineRule="auto"/>
        <w:ind w:left="-1530"/>
        <w:jc w:val="center"/>
        <w:outlineLvl w:val="5"/>
        <w:rPr>
          <w:rFonts w:asciiTheme="majorHAnsi" w:eastAsia="Times New Roman" w:hAnsiTheme="majorHAnsi" w:cs="Times New Roman"/>
          <w:b/>
          <w:bCs/>
          <w:sz w:val="28"/>
          <w:szCs w:val="28"/>
          <w:lang w:eastAsia="it-IT"/>
        </w:rPr>
      </w:pPr>
      <w:r w:rsidRPr="007C0479">
        <w:rPr>
          <w:rFonts w:asciiTheme="majorHAnsi" w:eastAsia="Times New Roman" w:hAnsiTheme="majorHAnsi" w:cs="Times New Roman"/>
          <w:b/>
          <w:bCs/>
          <w:sz w:val="28"/>
          <w:szCs w:val="28"/>
          <w:lang w:eastAsia="it-IT"/>
        </w:rPr>
        <w:t>Avvocato Tributarista in Lecce</w:t>
      </w:r>
    </w:p>
    <w:p w14:paraId="6E0456DE" w14:textId="77777777" w:rsidR="00EB3541" w:rsidRPr="007C0479" w:rsidRDefault="00EB3541" w:rsidP="00B86649">
      <w:pPr>
        <w:spacing w:after="0" w:line="360" w:lineRule="auto"/>
        <w:rPr>
          <w:rFonts w:asciiTheme="majorHAnsi" w:eastAsia="Times New Roman" w:hAnsiTheme="majorHAnsi" w:cs="Times New Roman"/>
          <w:b/>
          <w:sz w:val="28"/>
          <w:szCs w:val="28"/>
          <w:lang w:eastAsia="it-IT"/>
        </w:rPr>
      </w:pPr>
      <w:r w:rsidRPr="007C0479">
        <w:rPr>
          <w:rFonts w:asciiTheme="majorHAnsi" w:eastAsia="Times New Roman" w:hAnsiTheme="majorHAnsi" w:cs="Times New Roman"/>
          <w:b/>
          <w:sz w:val="28"/>
          <w:szCs w:val="28"/>
          <w:lang w:eastAsia="it-IT"/>
        </w:rPr>
        <w:t xml:space="preserve">                                     Patrocinante in Cassazione</w:t>
      </w:r>
    </w:p>
    <w:p w14:paraId="37856448" w14:textId="77777777" w:rsidR="00EB3541" w:rsidRPr="007C0479" w:rsidRDefault="00C1014F" w:rsidP="00B86649">
      <w:pPr>
        <w:spacing w:after="0" w:line="360" w:lineRule="auto"/>
        <w:ind w:left="-1530"/>
        <w:jc w:val="center"/>
        <w:rPr>
          <w:rFonts w:asciiTheme="majorHAnsi" w:eastAsia="Times New Roman" w:hAnsiTheme="majorHAnsi" w:cs="Times New Roman"/>
          <w:b/>
          <w:bCs/>
          <w:sz w:val="28"/>
          <w:szCs w:val="28"/>
          <w:lang w:eastAsia="it-IT"/>
        </w:rPr>
      </w:pPr>
      <w:hyperlink r:id="rId6" w:history="1">
        <w:r w:rsidR="00EB3541" w:rsidRPr="007C0479">
          <w:rPr>
            <w:rFonts w:asciiTheme="majorHAnsi" w:eastAsia="Times New Roman" w:hAnsiTheme="majorHAnsi" w:cs="Times New Roman"/>
            <w:b/>
            <w:bCs/>
            <w:color w:val="0000FF"/>
            <w:sz w:val="28"/>
            <w:szCs w:val="28"/>
            <w:u w:val="single"/>
            <w:lang w:eastAsia="it-IT"/>
          </w:rPr>
          <w:t>www.studiotributariovillani.it</w:t>
        </w:r>
      </w:hyperlink>
      <w:r w:rsidR="00EB3541" w:rsidRPr="007C0479">
        <w:rPr>
          <w:rFonts w:asciiTheme="majorHAnsi" w:eastAsia="Times New Roman" w:hAnsiTheme="majorHAnsi" w:cs="Times New Roman"/>
          <w:b/>
          <w:bCs/>
          <w:sz w:val="28"/>
          <w:szCs w:val="28"/>
          <w:lang w:eastAsia="it-IT"/>
        </w:rPr>
        <w:t xml:space="preserve"> - e-mail </w:t>
      </w:r>
      <w:hyperlink r:id="rId7" w:history="1">
        <w:r w:rsidR="00EB3541" w:rsidRPr="007C0479">
          <w:rPr>
            <w:rFonts w:asciiTheme="majorHAnsi" w:eastAsia="Times New Roman" w:hAnsiTheme="majorHAnsi" w:cs="Times New Roman"/>
            <w:b/>
            <w:bCs/>
            <w:color w:val="0000FF"/>
            <w:sz w:val="28"/>
            <w:szCs w:val="28"/>
            <w:u w:val="single"/>
            <w:lang w:eastAsia="it-IT"/>
          </w:rPr>
          <w:t>avvocato@studiotributariovillani.it</w:t>
        </w:r>
      </w:hyperlink>
    </w:p>
    <w:sectPr w:rsidR="00EB3541" w:rsidRPr="007C047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059E7" w14:textId="77777777" w:rsidR="00C1014F" w:rsidRDefault="00C1014F" w:rsidP="000170E0">
      <w:pPr>
        <w:spacing w:after="0" w:line="240" w:lineRule="auto"/>
      </w:pPr>
      <w:r>
        <w:separator/>
      </w:r>
    </w:p>
  </w:endnote>
  <w:endnote w:type="continuationSeparator" w:id="0">
    <w:p w14:paraId="59DB7A75" w14:textId="77777777" w:rsidR="00C1014F" w:rsidRDefault="00C1014F" w:rsidP="0001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296919"/>
      <w:docPartObj>
        <w:docPartGallery w:val="Page Numbers (Bottom of Page)"/>
        <w:docPartUnique/>
      </w:docPartObj>
    </w:sdtPr>
    <w:sdtEndPr/>
    <w:sdtContent>
      <w:p w14:paraId="4EEDACF3" w14:textId="77777777" w:rsidR="000170E0" w:rsidRDefault="000170E0">
        <w:pPr>
          <w:pStyle w:val="Pidipagina"/>
          <w:jc w:val="right"/>
        </w:pPr>
        <w:r>
          <w:fldChar w:fldCharType="begin"/>
        </w:r>
        <w:r>
          <w:instrText>PAGE   \* MERGEFORMAT</w:instrText>
        </w:r>
        <w:r>
          <w:fldChar w:fldCharType="separate"/>
        </w:r>
        <w:r>
          <w:t>2</w:t>
        </w:r>
        <w:r>
          <w:fldChar w:fldCharType="end"/>
        </w:r>
      </w:p>
    </w:sdtContent>
  </w:sdt>
  <w:p w14:paraId="0F10D639" w14:textId="77777777" w:rsidR="000170E0" w:rsidRDefault="000170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D18C1" w14:textId="77777777" w:rsidR="00C1014F" w:rsidRDefault="00C1014F" w:rsidP="000170E0">
      <w:pPr>
        <w:spacing w:after="0" w:line="240" w:lineRule="auto"/>
      </w:pPr>
      <w:r>
        <w:separator/>
      </w:r>
    </w:p>
  </w:footnote>
  <w:footnote w:type="continuationSeparator" w:id="0">
    <w:p w14:paraId="01BCAE6E" w14:textId="77777777" w:rsidR="00C1014F" w:rsidRDefault="00C1014F" w:rsidP="000170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E0"/>
    <w:rsid w:val="000170E0"/>
    <w:rsid w:val="00025830"/>
    <w:rsid w:val="000E4D6C"/>
    <w:rsid w:val="001367B5"/>
    <w:rsid w:val="0019485B"/>
    <w:rsid w:val="001F1905"/>
    <w:rsid w:val="00235976"/>
    <w:rsid w:val="002769F9"/>
    <w:rsid w:val="00312F0D"/>
    <w:rsid w:val="0039320E"/>
    <w:rsid w:val="003A617F"/>
    <w:rsid w:val="003F1566"/>
    <w:rsid w:val="00443DD0"/>
    <w:rsid w:val="004B0AC9"/>
    <w:rsid w:val="00506BF9"/>
    <w:rsid w:val="00543156"/>
    <w:rsid w:val="00565525"/>
    <w:rsid w:val="006D5D73"/>
    <w:rsid w:val="007C0479"/>
    <w:rsid w:val="007D40EC"/>
    <w:rsid w:val="007F2C80"/>
    <w:rsid w:val="00800037"/>
    <w:rsid w:val="008400A8"/>
    <w:rsid w:val="00862B48"/>
    <w:rsid w:val="008C1620"/>
    <w:rsid w:val="008D3EA0"/>
    <w:rsid w:val="008E7E00"/>
    <w:rsid w:val="0096724A"/>
    <w:rsid w:val="00AD2B61"/>
    <w:rsid w:val="00B00F19"/>
    <w:rsid w:val="00B23019"/>
    <w:rsid w:val="00B86649"/>
    <w:rsid w:val="00BD3A5F"/>
    <w:rsid w:val="00C1014F"/>
    <w:rsid w:val="00C45D9D"/>
    <w:rsid w:val="00C81C83"/>
    <w:rsid w:val="00CF3623"/>
    <w:rsid w:val="00D12ADA"/>
    <w:rsid w:val="00D232DE"/>
    <w:rsid w:val="00D77735"/>
    <w:rsid w:val="00EB3541"/>
    <w:rsid w:val="00F749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670C"/>
  <w15:chartTrackingRefBased/>
  <w15:docId w15:val="{A9D3368F-7B5E-47F7-8618-B07D819C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4">
    <w:name w:val="Style 4"/>
    <w:basedOn w:val="Normale"/>
    <w:uiPriority w:val="99"/>
    <w:rsid w:val="000170E0"/>
    <w:pPr>
      <w:widowControl w:val="0"/>
      <w:autoSpaceDE w:val="0"/>
      <w:autoSpaceDN w:val="0"/>
      <w:spacing w:before="108" w:after="0" w:line="360" w:lineRule="auto"/>
      <w:ind w:left="72" w:right="72"/>
      <w:jc w:val="both"/>
    </w:pPr>
    <w:rPr>
      <w:rFonts w:ascii="Verdana" w:eastAsiaTheme="minorEastAsia" w:hAnsi="Verdana" w:cs="Verdana"/>
      <w:sz w:val="24"/>
      <w:szCs w:val="24"/>
      <w:lang w:eastAsia="it-IT"/>
    </w:rPr>
  </w:style>
  <w:style w:type="character" w:customStyle="1" w:styleId="CharacterStyle2">
    <w:name w:val="Character Style 2"/>
    <w:uiPriority w:val="99"/>
    <w:rsid w:val="000170E0"/>
    <w:rPr>
      <w:rFonts w:ascii="Verdana" w:hAnsi="Verdana" w:cs="Verdana"/>
      <w:sz w:val="24"/>
      <w:szCs w:val="24"/>
    </w:rPr>
  </w:style>
  <w:style w:type="paragraph" w:customStyle="1" w:styleId="Style5">
    <w:name w:val="Style 5"/>
    <w:basedOn w:val="Normale"/>
    <w:uiPriority w:val="99"/>
    <w:rsid w:val="000170E0"/>
    <w:pPr>
      <w:widowControl w:val="0"/>
      <w:autoSpaceDE w:val="0"/>
      <w:autoSpaceDN w:val="0"/>
      <w:spacing w:before="108" w:after="144" w:line="360" w:lineRule="auto"/>
      <w:ind w:left="72" w:right="72" w:firstLine="432"/>
      <w:jc w:val="both"/>
    </w:pPr>
    <w:rPr>
      <w:rFonts w:ascii="Verdana" w:eastAsiaTheme="minorEastAsia" w:hAnsi="Verdana" w:cs="Verdana"/>
      <w:sz w:val="24"/>
      <w:szCs w:val="24"/>
      <w:lang w:eastAsia="it-IT"/>
    </w:rPr>
  </w:style>
  <w:style w:type="paragraph" w:customStyle="1" w:styleId="Style1">
    <w:name w:val="Style 1"/>
    <w:basedOn w:val="Normale"/>
    <w:uiPriority w:val="99"/>
    <w:rsid w:val="000170E0"/>
    <w:pPr>
      <w:widowControl w:val="0"/>
      <w:autoSpaceDE w:val="0"/>
      <w:autoSpaceDN w:val="0"/>
      <w:adjustRightInd w:val="0"/>
      <w:spacing w:after="0" w:line="240" w:lineRule="auto"/>
    </w:pPr>
    <w:rPr>
      <w:rFonts w:ascii="Times New Roman" w:eastAsiaTheme="minorEastAsia" w:hAnsi="Times New Roman" w:cs="Times New Roman"/>
      <w:sz w:val="20"/>
      <w:szCs w:val="20"/>
      <w:lang w:eastAsia="it-IT"/>
    </w:rPr>
  </w:style>
  <w:style w:type="character" w:customStyle="1" w:styleId="CharacterStyle1">
    <w:name w:val="Character Style 1"/>
    <w:uiPriority w:val="99"/>
    <w:rsid w:val="000170E0"/>
    <w:rPr>
      <w:sz w:val="20"/>
      <w:szCs w:val="20"/>
    </w:rPr>
  </w:style>
  <w:style w:type="paragraph" w:styleId="Intestazione">
    <w:name w:val="header"/>
    <w:basedOn w:val="Normale"/>
    <w:link w:val="IntestazioneCarattere"/>
    <w:uiPriority w:val="99"/>
    <w:unhideWhenUsed/>
    <w:rsid w:val="000170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70E0"/>
  </w:style>
  <w:style w:type="paragraph" w:styleId="Pidipagina">
    <w:name w:val="footer"/>
    <w:basedOn w:val="Normale"/>
    <w:link w:val="PidipaginaCarattere"/>
    <w:uiPriority w:val="99"/>
    <w:unhideWhenUsed/>
    <w:rsid w:val="000170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1094</Words>
  <Characters>6240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2020-07-18T07:39:00Z</cp:lastPrinted>
  <dcterms:created xsi:type="dcterms:W3CDTF">2020-07-20T09:49:00Z</dcterms:created>
  <dcterms:modified xsi:type="dcterms:W3CDTF">2020-07-20T09:49:00Z</dcterms:modified>
</cp:coreProperties>
</file>