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7D7B" w14:textId="4691D4A4" w:rsidR="006E5245" w:rsidRPr="00616B56" w:rsidRDefault="00616B56" w:rsidP="007000E4">
      <w:pPr>
        <w:spacing w:after="0" w:line="360" w:lineRule="auto"/>
        <w:jc w:val="center"/>
        <w:rPr>
          <w:rFonts w:ascii="Tahoma" w:hAnsi="Tahoma" w:cs="Tahoma"/>
          <w:b/>
          <w:bCs/>
          <w:sz w:val="40"/>
          <w:szCs w:val="40"/>
        </w:rPr>
      </w:pPr>
      <w:r w:rsidRPr="00616B56">
        <w:rPr>
          <w:rFonts w:ascii="Tahoma" w:hAnsi="Tahoma" w:cs="Tahoma"/>
          <w:b/>
          <w:bCs/>
          <w:sz w:val="40"/>
          <w:szCs w:val="40"/>
        </w:rPr>
        <w:t>LA MOTIVAZIONE DEGLI ATTI FISCALI</w:t>
      </w:r>
    </w:p>
    <w:p w14:paraId="52314CD4" w14:textId="43C44F50" w:rsidR="007000E4" w:rsidRPr="00911698" w:rsidRDefault="00E770ED" w:rsidP="007000E4">
      <w:pPr>
        <w:spacing w:after="0" w:line="360" w:lineRule="auto"/>
        <w:jc w:val="both"/>
        <w:rPr>
          <w:rFonts w:ascii="Tahoma" w:hAnsi="Tahoma" w:cs="Tahoma"/>
          <w:b/>
          <w:bCs/>
          <w:sz w:val="28"/>
          <w:szCs w:val="28"/>
        </w:rPr>
      </w:pPr>
      <w:r w:rsidRPr="00911698">
        <w:rPr>
          <w:rFonts w:ascii="Tahoma" w:hAnsi="Tahoma" w:cs="Tahoma"/>
          <w:b/>
          <w:bCs/>
          <w:sz w:val="28"/>
          <w:szCs w:val="28"/>
        </w:rPr>
        <w:t>La</w:t>
      </w:r>
      <w:r w:rsidR="007000E4" w:rsidRPr="00911698">
        <w:rPr>
          <w:rFonts w:ascii="Tahoma" w:hAnsi="Tahoma" w:cs="Tahoma"/>
          <w:b/>
          <w:bCs/>
          <w:sz w:val="28"/>
          <w:szCs w:val="28"/>
        </w:rPr>
        <w:t xml:space="preserve"> Corte </w:t>
      </w:r>
      <w:r w:rsidRPr="00911698">
        <w:rPr>
          <w:rFonts w:ascii="Tahoma" w:hAnsi="Tahoma" w:cs="Tahoma"/>
          <w:b/>
          <w:bCs/>
          <w:sz w:val="28"/>
          <w:szCs w:val="28"/>
        </w:rPr>
        <w:t xml:space="preserve">di Cassazione </w:t>
      </w:r>
      <w:r w:rsidR="007000E4" w:rsidRPr="00911698">
        <w:rPr>
          <w:rFonts w:ascii="Tahoma" w:hAnsi="Tahoma" w:cs="Tahoma"/>
          <w:b/>
          <w:bCs/>
          <w:sz w:val="28"/>
          <w:szCs w:val="28"/>
        </w:rPr>
        <w:t xml:space="preserve">ha affermato il principio secondo il quale la cartella esattoriale, ove non preceduta da un avviso di accertamento, deve </w:t>
      </w:r>
      <w:r w:rsidRPr="00911698">
        <w:rPr>
          <w:rFonts w:ascii="Tahoma" w:hAnsi="Tahoma" w:cs="Tahoma"/>
          <w:b/>
          <w:bCs/>
          <w:sz w:val="28"/>
          <w:szCs w:val="28"/>
        </w:rPr>
        <w:t xml:space="preserve">sempre </w:t>
      </w:r>
      <w:r w:rsidR="007000E4" w:rsidRPr="00911698">
        <w:rPr>
          <w:rFonts w:ascii="Tahoma" w:hAnsi="Tahoma" w:cs="Tahoma"/>
          <w:b/>
          <w:bCs/>
          <w:sz w:val="28"/>
          <w:szCs w:val="28"/>
        </w:rPr>
        <w:t>essere motivata in modo congruo, sufficiente ed intellegibile, tale obbligo derivando dai principi di carattere generale indicati, per ogni provvedimento amministrativo, dalla L. n. 241 del 1990, art. 3, e recepiti, per la materia tributaria, dalla L. n. 212 del 2000, art. 7 (Cass. n. 9799/2017</w:t>
      </w:r>
      <w:r w:rsidRPr="00911698">
        <w:rPr>
          <w:rFonts w:ascii="Tahoma" w:hAnsi="Tahoma" w:cs="Tahoma"/>
          <w:b/>
          <w:bCs/>
          <w:sz w:val="28"/>
          <w:szCs w:val="28"/>
        </w:rPr>
        <w:t>;</w:t>
      </w:r>
      <w:r w:rsidR="007000E4" w:rsidRPr="00911698">
        <w:rPr>
          <w:rFonts w:ascii="Tahoma" w:hAnsi="Tahoma" w:cs="Tahoma"/>
          <w:b/>
          <w:bCs/>
          <w:sz w:val="28"/>
          <w:szCs w:val="28"/>
        </w:rPr>
        <w:t xml:space="preserve"> 31270/2018</w:t>
      </w:r>
      <w:r w:rsidRPr="00911698">
        <w:rPr>
          <w:rFonts w:ascii="Tahoma" w:hAnsi="Tahoma" w:cs="Tahoma"/>
          <w:b/>
          <w:bCs/>
          <w:sz w:val="28"/>
          <w:szCs w:val="28"/>
        </w:rPr>
        <w:t>; Cass. n. 20784/2020).</w:t>
      </w:r>
    </w:p>
    <w:p w14:paraId="3E11B96D" w14:textId="6F4DBF1B" w:rsidR="007000E4" w:rsidRPr="007000E4" w:rsidRDefault="007000E4" w:rsidP="007000E4">
      <w:pPr>
        <w:spacing w:after="0" w:line="360" w:lineRule="auto"/>
        <w:jc w:val="both"/>
        <w:rPr>
          <w:rFonts w:ascii="Tahoma" w:hAnsi="Tahoma" w:cs="Tahoma"/>
          <w:sz w:val="28"/>
          <w:szCs w:val="28"/>
        </w:rPr>
      </w:pPr>
      <w:r w:rsidRPr="007000E4">
        <w:rPr>
          <w:rFonts w:ascii="Tahoma" w:hAnsi="Tahoma" w:cs="Tahoma"/>
          <w:sz w:val="28"/>
          <w:szCs w:val="28"/>
        </w:rPr>
        <w:t>La mancanza di adeguata informazione del contribuente trova ulteriore conferma nel mancato invio di una previa comunicazione d</w:t>
      </w:r>
      <w:r w:rsidR="00770959">
        <w:rPr>
          <w:rFonts w:ascii="Tahoma" w:hAnsi="Tahoma" w:cs="Tahoma"/>
          <w:sz w:val="28"/>
          <w:szCs w:val="28"/>
        </w:rPr>
        <w:t>i</w:t>
      </w:r>
      <w:r w:rsidRPr="007000E4">
        <w:rPr>
          <w:rFonts w:ascii="Tahoma" w:hAnsi="Tahoma" w:cs="Tahoma"/>
          <w:sz w:val="28"/>
          <w:szCs w:val="28"/>
        </w:rPr>
        <w:t xml:space="preserve"> irregolarità</w:t>
      </w:r>
      <w:r>
        <w:rPr>
          <w:rFonts w:ascii="Tahoma" w:hAnsi="Tahoma" w:cs="Tahoma"/>
          <w:sz w:val="28"/>
          <w:szCs w:val="28"/>
        </w:rPr>
        <w:t>.</w:t>
      </w:r>
    </w:p>
    <w:p w14:paraId="4E78CC1F" w14:textId="2000F202" w:rsidR="007000E4" w:rsidRPr="007000E4" w:rsidRDefault="007000E4" w:rsidP="007000E4">
      <w:pPr>
        <w:spacing w:after="0" w:line="360" w:lineRule="auto"/>
        <w:jc w:val="both"/>
        <w:rPr>
          <w:rFonts w:ascii="Tahoma" w:hAnsi="Tahoma" w:cs="Tahoma"/>
          <w:sz w:val="28"/>
          <w:szCs w:val="28"/>
        </w:rPr>
      </w:pPr>
      <w:r w:rsidRPr="007000E4">
        <w:rPr>
          <w:rFonts w:ascii="Tahoma" w:hAnsi="Tahoma" w:cs="Tahoma"/>
          <w:sz w:val="28"/>
          <w:szCs w:val="28"/>
        </w:rPr>
        <w:t xml:space="preserve">Tale strumento avente funzione di garanzia </w:t>
      </w:r>
      <w:r w:rsidR="006900FA">
        <w:rPr>
          <w:rFonts w:ascii="Tahoma" w:hAnsi="Tahoma" w:cs="Tahoma"/>
          <w:sz w:val="28"/>
          <w:szCs w:val="28"/>
        </w:rPr>
        <w:t>può</w:t>
      </w:r>
      <w:r w:rsidRPr="007000E4">
        <w:rPr>
          <w:rFonts w:ascii="Tahoma" w:hAnsi="Tahoma" w:cs="Tahoma"/>
          <w:sz w:val="28"/>
          <w:szCs w:val="28"/>
        </w:rPr>
        <w:t xml:space="preserve"> realizzare compiutamente la necessaria interlocuzione tra l'</w:t>
      </w:r>
      <w:r w:rsidR="00A74567">
        <w:rPr>
          <w:rFonts w:ascii="Tahoma" w:hAnsi="Tahoma" w:cs="Tahoma"/>
          <w:sz w:val="28"/>
          <w:szCs w:val="28"/>
        </w:rPr>
        <w:t>a</w:t>
      </w:r>
      <w:r w:rsidRPr="007000E4">
        <w:rPr>
          <w:rFonts w:ascii="Tahoma" w:hAnsi="Tahoma" w:cs="Tahoma"/>
          <w:sz w:val="28"/>
          <w:szCs w:val="28"/>
        </w:rPr>
        <w:t>mministrazione finanziaria ed il contribuente e chiarire ogni aspetto legato</w:t>
      </w:r>
      <w:r>
        <w:rPr>
          <w:rFonts w:ascii="Tahoma" w:hAnsi="Tahoma" w:cs="Tahoma"/>
          <w:sz w:val="28"/>
          <w:szCs w:val="28"/>
        </w:rPr>
        <w:t xml:space="preserve"> alla si</w:t>
      </w:r>
      <w:r w:rsidRPr="007000E4">
        <w:rPr>
          <w:rFonts w:ascii="Tahoma" w:hAnsi="Tahoma" w:cs="Tahoma"/>
          <w:sz w:val="28"/>
          <w:szCs w:val="28"/>
        </w:rPr>
        <w:t>ngolarità della emissione</w:t>
      </w:r>
      <w:r w:rsidR="00B059A5">
        <w:rPr>
          <w:rFonts w:ascii="Tahoma" w:hAnsi="Tahoma" w:cs="Tahoma"/>
          <w:sz w:val="28"/>
          <w:szCs w:val="28"/>
        </w:rPr>
        <w:t>, per esempio,</w:t>
      </w:r>
      <w:r w:rsidRPr="007000E4">
        <w:rPr>
          <w:rFonts w:ascii="Tahoma" w:hAnsi="Tahoma" w:cs="Tahoma"/>
          <w:sz w:val="28"/>
          <w:szCs w:val="28"/>
        </w:rPr>
        <w:t xml:space="preserve"> di due atti di recupero</w:t>
      </w:r>
      <w:r>
        <w:rPr>
          <w:rFonts w:ascii="Tahoma" w:hAnsi="Tahoma" w:cs="Tahoma"/>
          <w:sz w:val="28"/>
          <w:szCs w:val="28"/>
        </w:rPr>
        <w:t xml:space="preserve"> </w:t>
      </w:r>
      <w:r w:rsidRPr="007000E4">
        <w:rPr>
          <w:rFonts w:ascii="Tahoma" w:hAnsi="Tahoma" w:cs="Tahoma"/>
          <w:sz w:val="28"/>
          <w:szCs w:val="28"/>
        </w:rPr>
        <w:t>per la stessa imposta e la medesima annualità</w:t>
      </w:r>
      <w:r>
        <w:rPr>
          <w:rFonts w:ascii="Tahoma" w:hAnsi="Tahoma" w:cs="Tahoma"/>
          <w:sz w:val="28"/>
          <w:szCs w:val="28"/>
        </w:rPr>
        <w:t>.</w:t>
      </w:r>
    </w:p>
    <w:p w14:paraId="488658BF" w14:textId="724F6A10" w:rsidR="007000E4" w:rsidRPr="000E42F3" w:rsidRDefault="007000E4" w:rsidP="007000E4">
      <w:pPr>
        <w:spacing w:after="0" w:line="360" w:lineRule="auto"/>
        <w:jc w:val="both"/>
        <w:rPr>
          <w:rFonts w:ascii="Tahoma" w:hAnsi="Tahoma" w:cs="Tahoma"/>
          <w:b/>
          <w:bCs/>
          <w:sz w:val="28"/>
          <w:szCs w:val="28"/>
        </w:rPr>
      </w:pPr>
      <w:r w:rsidRPr="007000E4">
        <w:rPr>
          <w:rFonts w:ascii="Tahoma" w:hAnsi="Tahoma" w:cs="Tahoma"/>
          <w:sz w:val="28"/>
          <w:szCs w:val="28"/>
        </w:rPr>
        <w:t xml:space="preserve">Trattandosi di vizio originario dell'atto, di per </w:t>
      </w:r>
      <w:proofErr w:type="spellStart"/>
      <w:r w:rsidRPr="007000E4">
        <w:rPr>
          <w:rFonts w:ascii="Tahoma" w:hAnsi="Tahoma" w:cs="Tahoma"/>
          <w:sz w:val="28"/>
          <w:szCs w:val="28"/>
        </w:rPr>
        <w:t>sè</w:t>
      </w:r>
      <w:proofErr w:type="spellEnd"/>
      <w:r w:rsidRPr="007000E4">
        <w:rPr>
          <w:rFonts w:ascii="Tahoma" w:hAnsi="Tahoma" w:cs="Tahoma"/>
          <w:sz w:val="28"/>
          <w:szCs w:val="28"/>
        </w:rPr>
        <w:t xml:space="preserve"> stesso idoneo a determinarne l'invalidità, a nulla rileva che l'</w:t>
      </w:r>
      <w:r w:rsidR="00842D92">
        <w:rPr>
          <w:rFonts w:ascii="Tahoma" w:hAnsi="Tahoma" w:cs="Tahoma"/>
          <w:sz w:val="28"/>
          <w:szCs w:val="28"/>
        </w:rPr>
        <w:t>u</w:t>
      </w:r>
      <w:r w:rsidRPr="007000E4">
        <w:rPr>
          <w:rFonts w:ascii="Tahoma" w:hAnsi="Tahoma" w:cs="Tahoma"/>
          <w:sz w:val="28"/>
          <w:szCs w:val="28"/>
        </w:rPr>
        <w:t xml:space="preserve">fficio abbia esplicitato in sede di controdeduzioni quali fossero in concreto le ragioni delle pretese oggetto delle singole cartelle. </w:t>
      </w:r>
      <w:r w:rsidR="00B059A5" w:rsidRPr="000E42F3">
        <w:rPr>
          <w:rFonts w:ascii="Tahoma" w:hAnsi="Tahoma" w:cs="Tahoma"/>
          <w:b/>
          <w:bCs/>
          <w:sz w:val="28"/>
          <w:szCs w:val="28"/>
        </w:rPr>
        <w:t>La</w:t>
      </w:r>
      <w:r w:rsidRPr="000E42F3">
        <w:rPr>
          <w:rFonts w:ascii="Tahoma" w:hAnsi="Tahoma" w:cs="Tahoma"/>
          <w:b/>
          <w:bCs/>
          <w:sz w:val="28"/>
          <w:szCs w:val="28"/>
        </w:rPr>
        <w:t xml:space="preserve"> Corte</w:t>
      </w:r>
      <w:r w:rsidR="00B059A5" w:rsidRPr="000E42F3">
        <w:rPr>
          <w:rFonts w:ascii="Tahoma" w:hAnsi="Tahoma" w:cs="Tahoma"/>
          <w:b/>
          <w:bCs/>
          <w:sz w:val="28"/>
          <w:szCs w:val="28"/>
        </w:rPr>
        <w:t xml:space="preserve"> di Cassazione</w:t>
      </w:r>
      <w:r w:rsidRPr="000E42F3">
        <w:rPr>
          <w:rFonts w:ascii="Tahoma" w:hAnsi="Tahoma" w:cs="Tahoma"/>
          <w:b/>
          <w:bCs/>
          <w:sz w:val="28"/>
          <w:szCs w:val="28"/>
        </w:rPr>
        <w:t xml:space="preserve"> ha ripetutamente espresso il principio secondo il quale la motivazione dell'atto tributario costituisce</w:t>
      </w:r>
      <w:r w:rsidR="004D799D" w:rsidRPr="000E42F3">
        <w:rPr>
          <w:rFonts w:ascii="Tahoma" w:hAnsi="Tahoma" w:cs="Tahoma"/>
          <w:b/>
          <w:bCs/>
          <w:sz w:val="28"/>
          <w:szCs w:val="28"/>
        </w:rPr>
        <w:t xml:space="preserve"> sempre</w:t>
      </w:r>
      <w:r w:rsidRPr="000E42F3">
        <w:rPr>
          <w:rFonts w:ascii="Tahoma" w:hAnsi="Tahoma" w:cs="Tahoma"/>
          <w:b/>
          <w:bCs/>
          <w:sz w:val="28"/>
          <w:szCs w:val="28"/>
        </w:rPr>
        <w:t xml:space="preserve"> lo strumento essenziale di garanzia del diritto di difesa del contribuente. </w:t>
      </w:r>
    </w:p>
    <w:p w14:paraId="65E31A87" w14:textId="61BE26D2" w:rsidR="007000E4" w:rsidRPr="00874A23" w:rsidRDefault="007000E4" w:rsidP="007000E4">
      <w:pPr>
        <w:spacing w:after="0" w:line="360" w:lineRule="auto"/>
        <w:jc w:val="both"/>
        <w:rPr>
          <w:rFonts w:ascii="Tahoma" w:hAnsi="Tahoma" w:cs="Tahoma"/>
          <w:b/>
          <w:bCs/>
          <w:sz w:val="28"/>
          <w:szCs w:val="28"/>
        </w:rPr>
      </w:pPr>
      <w:r w:rsidRPr="007000E4">
        <w:rPr>
          <w:rFonts w:ascii="Tahoma" w:hAnsi="Tahoma" w:cs="Tahoma"/>
          <w:sz w:val="28"/>
          <w:szCs w:val="28"/>
        </w:rPr>
        <w:t>All'interno della motivazione, pertanto, devono</w:t>
      </w:r>
      <w:r w:rsidR="00FF6F26">
        <w:rPr>
          <w:rFonts w:ascii="Tahoma" w:hAnsi="Tahoma" w:cs="Tahoma"/>
          <w:sz w:val="28"/>
          <w:szCs w:val="28"/>
        </w:rPr>
        <w:t xml:space="preserve"> sempre</w:t>
      </w:r>
      <w:r w:rsidRPr="007000E4">
        <w:rPr>
          <w:rFonts w:ascii="Tahoma" w:hAnsi="Tahoma" w:cs="Tahoma"/>
          <w:sz w:val="28"/>
          <w:szCs w:val="28"/>
        </w:rPr>
        <w:t xml:space="preserve"> essere indicati gli elementi che l'</w:t>
      </w:r>
      <w:r w:rsidR="00C738AE">
        <w:rPr>
          <w:rFonts w:ascii="Tahoma" w:hAnsi="Tahoma" w:cs="Tahoma"/>
          <w:sz w:val="28"/>
          <w:szCs w:val="28"/>
        </w:rPr>
        <w:t>u</w:t>
      </w:r>
      <w:r w:rsidRPr="007000E4">
        <w:rPr>
          <w:rFonts w:ascii="Tahoma" w:hAnsi="Tahoma" w:cs="Tahoma"/>
          <w:sz w:val="28"/>
          <w:szCs w:val="28"/>
        </w:rPr>
        <w:t xml:space="preserve">fficio ha posto a base della pretesa, non potendo l'amministrazione integrare le proprie ragioni in corso di giudizio </w:t>
      </w:r>
      <w:r w:rsidRPr="00874A23">
        <w:rPr>
          <w:rFonts w:ascii="Tahoma" w:hAnsi="Tahoma" w:cs="Tahoma"/>
          <w:b/>
          <w:bCs/>
          <w:sz w:val="28"/>
          <w:szCs w:val="28"/>
        </w:rPr>
        <w:t>(cfr. Cass. 11777/2016, 25879/2015).</w:t>
      </w:r>
    </w:p>
    <w:p w14:paraId="3A4EB47D" w14:textId="67DBDC82" w:rsidR="00E67B03" w:rsidRPr="005F3365" w:rsidRDefault="00AA4270" w:rsidP="00E67B03">
      <w:pPr>
        <w:spacing w:after="0" w:line="360" w:lineRule="auto"/>
        <w:jc w:val="both"/>
        <w:rPr>
          <w:rFonts w:ascii="Tahoma" w:hAnsi="Tahoma" w:cs="Tahoma"/>
          <w:b/>
          <w:bCs/>
          <w:sz w:val="28"/>
          <w:szCs w:val="28"/>
        </w:rPr>
      </w:pPr>
      <w:r w:rsidRPr="005F3365">
        <w:rPr>
          <w:rFonts w:ascii="Tahoma" w:hAnsi="Tahoma" w:cs="Tahoma"/>
          <w:b/>
          <w:bCs/>
          <w:sz w:val="28"/>
          <w:szCs w:val="28"/>
        </w:rPr>
        <w:lastRenderedPageBreak/>
        <w:t xml:space="preserve">Inoltre, </w:t>
      </w:r>
      <w:r w:rsidR="00E67B03" w:rsidRPr="005F3365">
        <w:rPr>
          <w:rFonts w:ascii="Tahoma" w:hAnsi="Tahoma" w:cs="Tahoma"/>
          <w:b/>
          <w:bCs/>
          <w:sz w:val="28"/>
          <w:szCs w:val="28"/>
        </w:rPr>
        <w:t>mancando l'indicazione del tasso e della decorrenza</w:t>
      </w:r>
      <w:r w:rsidR="005E012E" w:rsidRPr="005F3365">
        <w:rPr>
          <w:rFonts w:ascii="Tahoma" w:hAnsi="Tahoma" w:cs="Tahoma"/>
          <w:b/>
          <w:bCs/>
          <w:sz w:val="28"/>
          <w:szCs w:val="28"/>
        </w:rPr>
        <w:t xml:space="preserve"> degli interessi</w:t>
      </w:r>
      <w:r w:rsidR="00E67B03" w:rsidRPr="005F3365">
        <w:rPr>
          <w:rFonts w:ascii="Tahoma" w:hAnsi="Tahoma" w:cs="Tahoma"/>
          <w:b/>
          <w:bCs/>
          <w:sz w:val="28"/>
          <w:szCs w:val="28"/>
        </w:rPr>
        <w:t>, i contribuenti non sono posti nella condizione di calcolare la correttezza del calcolo degli interessi operato dall'agenzia sulla base della somma dovuta</w:t>
      </w:r>
      <w:r w:rsidR="005611EA" w:rsidRPr="005F3365">
        <w:rPr>
          <w:rFonts w:ascii="Tahoma" w:hAnsi="Tahoma" w:cs="Tahoma"/>
          <w:b/>
          <w:bCs/>
          <w:sz w:val="28"/>
          <w:szCs w:val="28"/>
        </w:rPr>
        <w:t>.</w:t>
      </w:r>
      <w:r w:rsidR="00E67B03" w:rsidRPr="005F3365">
        <w:rPr>
          <w:rFonts w:ascii="Tahoma" w:hAnsi="Tahoma" w:cs="Tahoma"/>
          <w:b/>
          <w:bCs/>
          <w:sz w:val="28"/>
          <w:szCs w:val="28"/>
        </w:rPr>
        <w:t xml:space="preserve"> </w:t>
      </w:r>
    </w:p>
    <w:p w14:paraId="7E46E59D" w14:textId="0D108242" w:rsidR="00E67B03" w:rsidRPr="005F3365" w:rsidRDefault="00DC3328" w:rsidP="00E67B03">
      <w:pPr>
        <w:spacing w:after="0" w:line="360" w:lineRule="auto"/>
        <w:jc w:val="both"/>
        <w:rPr>
          <w:rFonts w:ascii="Tahoma" w:hAnsi="Tahoma" w:cs="Tahoma"/>
          <w:b/>
          <w:bCs/>
          <w:sz w:val="28"/>
          <w:szCs w:val="28"/>
        </w:rPr>
      </w:pPr>
      <w:r w:rsidRPr="005F3365">
        <w:rPr>
          <w:rFonts w:ascii="Tahoma" w:hAnsi="Tahoma" w:cs="Tahoma"/>
          <w:b/>
          <w:bCs/>
          <w:sz w:val="28"/>
          <w:szCs w:val="28"/>
        </w:rPr>
        <w:t>Anche in questo caso, a</w:t>
      </w:r>
      <w:r w:rsidR="00E67B03" w:rsidRPr="005F3365">
        <w:rPr>
          <w:rFonts w:ascii="Tahoma" w:hAnsi="Tahoma" w:cs="Tahoma"/>
          <w:b/>
          <w:bCs/>
          <w:sz w:val="28"/>
          <w:szCs w:val="28"/>
        </w:rPr>
        <w:t xml:space="preserve"> nulla rileva, dunque, che l'</w:t>
      </w:r>
      <w:r w:rsidRPr="005F3365">
        <w:rPr>
          <w:rFonts w:ascii="Tahoma" w:hAnsi="Tahoma" w:cs="Tahoma"/>
          <w:b/>
          <w:bCs/>
          <w:sz w:val="28"/>
          <w:szCs w:val="28"/>
        </w:rPr>
        <w:t>u</w:t>
      </w:r>
      <w:r w:rsidR="00E67B03" w:rsidRPr="005F3365">
        <w:rPr>
          <w:rFonts w:ascii="Tahoma" w:hAnsi="Tahoma" w:cs="Tahoma"/>
          <w:b/>
          <w:bCs/>
          <w:sz w:val="28"/>
          <w:szCs w:val="28"/>
        </w:rPr>
        <w:t>fficio solo in sede di controdeduzioni abbia esplicitato i criteri applicati e neppure che l'agenzia avesse inviato un fax con cui aveva preannunciato l'iscrizione a ruolo degli interessi, posto che nemmeno con tale atto aveva illustrato gli elementi su cui il calcolo era basato</w:t>
      </w:r>
      <w:r w:rsidR="00845D3B" w:rsidRPr="005F3365">
        <w:rPr>
          <w:rFonts w:ascii="Tahoma" w:hAnsi="Tahoma" w:cs="Tahoma"/>
          <w:b/>
          <w:bCs/>
          <w:sz w:val="28"/>
          <w:szCs w:val="28"/>
        </w:rPr>
        <w:t xml:space="preserve"> (Corte di Cassazione n. 9799/2017</w:t>
      </w:r>
      <w:r w:rsidR="00A37386" w:rsidRPr="005F3365">
        <w:rPr>
          <w:rFonts w:ascii="Tahoma" w:hAnsi="Tahoma" w:cs="Tahoma"/>
          <w:b/>
          <w:bCs/>
          <w:sz w:val="28"/>
          <w:szCs w:val="28"/>
        </w:rPr>
        <w:t>; Corte di Cassazione n. 31270/2018</w:t>
      </w:r>
      <w:r w:rsidR="00845D3B" w:rsidRPr="005F3365">
        <w:rPr>
          <w:rFonts w:ascii="Tahoma" w:hAnsi="Tahoma" w:cs="Tahoma"/>
          <w:b/>
          <w:bCs/>
          <w:sz w:val="28"/>
          <w:szCs w:val="28"/>
        </w:rPr>
        <w:t>).</w:t>
      </w:r>
    </w:p>
    <w:p w14:paraId="5A609FBC" w14:textId="1AEE1EFC" w:rsidR="00EB0092" w:rsidRPr="00877CC5" w:rsidRDefault="00EB0092" w:rsidP="00EB0092">
      <w:pPr>
        <w:spacing w:after="0" w:line="360" w:lineRule="auto"/>
        <w:jc w:val="both"/>
        <w:rPr>
          <w:rFonts w:ascii="Tahoma" w:hAnsi="Tahoma" w:cs="Tahoma"/>
          <w:b/>
          <w:bCs/>
          <w:sz w:val="28"/>
          <w:szCs w:val="28"/>
        </w:rPr>
      </w:pPr>
      <w:r w:rsidRPr="00EB0092">
        <w:rPr>
          <w:rFonts w:ascii="Tahoma" w:hAnsi="Tahoma" w:cs="Tahoma"/>
          <w:sz w:val="28"/>
          <w:szCs w:val="28"/>
        </w:rPr>
        <w:t xml:space="preserve">Nel procedimento tributario, la motivazione dell'avviso di accertamento assolve ad una pluralità di funzioni atteso che </w:t>
      </w:r>
      <w:r w:rsidR="00255B15">
        <w:rPr>
          <w:rFonts w:ascii="Tahoma" w:hAnsi="Tahoma" w:cs="Tahoma"/>
          <w:sz w:val="28"/>
          <w:szCs w:val="28"/>
        </w:rPr>
        <w:t>deve garantire sempre</w:t>
      </w:r>
      <w:r w:rsidRPr="00EB0092">
        <w:rPr>
          <w:rFonts w:ascii="Tahoma" w:hAnsi="Tahoma" w:cs="Tahoma"/>
          <w:sz w:val="28"/>
          <w:szCs w:val="28"/>
        </w:rPr>
        <w:t xml:space="preserve"> il diritto di difesa del contribuente, delimitando l'ambito delle ragioni deducibili dall'ufficio nella successiva fase processuale contenziosa</w:t>
      </w:r>
      <w:r w:rsidR="00311A50">
        <w:rPr>
          <w:rFonts w:ascii="Tahoma" w:hAnsi="Tahoma" w:cs="Tahoma"/>
          <w:sz w:val="28"/>
          <w:szCs w:val="28"/>
        </w:rPr>
        <w:t>,</w:t>
      </w:r>
      <w:r w:rsidRPr="00EB0092">
        <w:rPr>
          <w:rFonts w:ascii="Tahoma" w:hAnsi="Tahoma" w:cs="Tahoma"/>
          <w:sz w:val="28"/>
          <w:szCs w:val="28"/>
        </w:rPr>
        <w:t xml:space="preserve"> che non possono riguardare fatti nuovi e diversi</w:t>
      </w:r>
      <w:r w:rsidR="00311A50">
        <w:rPr>
          <w:rFonts w:ascii="Tahoma" w:hAnsi="Tahoma" w:cs="Tahoma"/>
          <w:sz w:val="28"/>
          <w:szCs w:val="28"/>
        </w:rPr>
        <w:t>,</w:t>
      </w:r>
      <w:r w:rsidRPr="00EB0092">
        <w:rPr>
          <w:rFonts w:ascii="Tahoma" w:hAnsi="Tahoma" w:cs="Tahoma"/>
          <w:sz w:val="28"/>
          <w:szCs w:val="28"/>
        </w:rPr>
        <w:t xml:space="preserve"> perché</w:t>
      </w:r>
      <w:r w:rsidR="00311A50">
        <w:rPr>
          <w:rFonts w:ascii="Tahoma" w:hAnsi="Tahoma" w:cs="Tahoma"/>
          <w:sz w:val="28"/>
          <w:szCs w:val="28"/>
        </w:rPr>
        <w:t>,</w:t>
      </w:r>
      <w:r w:rsidRPr="00EB0092">
        <w:rPr>
          <w:rFonts w:ascii="Tahoma" w:hAnsi="Tahoma" w:cs="Tahoma"/>
          <w:sz w:val="28"/>
          <w:szCs w:val="28"/>
        </w:rPr>
        <w:t xml:space="preserve"> in tal caso</w:t>
      </w:r>
      <w:r w:rsidR="00311A50">
        <w:rPr>
          <w:rFonts w:ascii="Tahoma" w:hAnsi="Tahoma" w:cs="Tahoma"/>
          <w:sz w:val="28"/>
          <w:szCs w:val="28"/>
        </w:rPr>
        <w:t>,</w:t>
      </w:r>
      <w:r w:rsidRPr="00EB0092">
        <w:rPr>
          <w:rFonts w:ascii="Tahoma" w:hAnsi="Tahoma" w:cs="Tahoma"/>
          <w:sz w:val="28"/>
          <w:szCs w:val="28"/>
        </w:rPr>
        <w:t xml:space="preserve"> si amplierebbe di fatto il termine per l'accertamento ove si dovesse ritenere che l'ufficio</w:t>
      </w:r>
      <w:r w:rsidR="00311A50">
        <w:rPr>
          <w:rFonts w:ascii="Tahoma" w:hAnsi="Tahoma" w:cs="Tahoma"/>
          <w:sz w:val="28"/>
          <w:szCs w:val="28"/>
        </w:rPr>
        <w:t xml:space="preserve"> può</w:t>
      </w:r>
      <w:r w:rsidRPr="00EB0092">
        <w:rPr>
          <w:rFonts w:ascii="Tahoma" w:hAnsi="Tahoma" w:cs="Tahoma"/>
          <w:sz w:val="28"/>
          <w:szCs w:val="28"/>
        </w:rPr>
        <w:t xml:space="preserve"> modificare le ragioni poste a fondamento dell'atto impositivo</w:t>
      </w:r>
      <w:r w:rsidR="00311A50">
        <w:rPr>
          <w:rFonts w:ascii="Tahoma" w:hAnsi="Tahoma" w:cs="Tahoma"/>
          <w:sz w:val="28"/>
          <w:szCs w:val="28"/>
        </w:rPr>
        <w:t xml:space="preserve"> </w:t>
      </w:r>
      <w:r w:rsidR="00311A50" w:rsidRPr="00877CC5">
        <w:rPr>
          <w:rFonts w:ascii="Tahoma" w:hAnsi="Tahoma" w:cs="Tahoma"/>
          <w:b/>
          <w:bCs/>
          <w:sz w:val="28"/>
          <w:szCs w:val="28"/>
        </w:rPr>
        <w:t>(Corte di Cassazione n. 25879/2015).</w:t>
      </w:r>
    </w:p>
    <w:p w14:paraId="47DCD769" w14:textId="3FF99E91" w:rsidR="00EB0092" w:rsidRDefault="00EB0092" w:rsidP="00EB0092">
      <w:pPr>
        <w:spacing w:after="0" w:line="360" w:lineRule="auto"/>
        <w:jc w:val="both"/>
        <w:rPr>
          <w:rFonts w:ascii="Tahoma" w:hAnsi="Tahoma" w:cs="Tahoma"/>
          <w:b/>
          <w:bCs/>
          <w:sz w:val="28"/>
          <w:szCs w:val="28"/>
        </w:rPr>
      </w:pPr>
      <w:r w:rsidRPr="00EB0092">
        <w:rPr>
          <w:rFonts w:ascii="Tahoma" w:hAnsi="Tahoma" w:cs="Tahoma"/>
          <w:sz w:val="28"/>
          <w:szCs w:val="28"/>
        </w:rPr>
        <w:t xml:space="preserve">L'obbligo di motivazione dell'atto impositivo persegue il fine di porre il contribuente in condizione di conoscere la pretesa impositiva in misura tale da consentirgli sia di valutare l'opportunità di esperire l'impugnazione giudiziale, sia, in caso positivo, di contestare efficacemente </w:t>
      </w:r>
      <w:proofErr w:type="spellStart"/>
      <w:r w:rsidRPr="00EB0092">
        <w:rPr>
          <w:rFonts w:ascii="Tahoma" w:hAnsi="Tahoma" w:cs="Tahoma"/>
          <w:sz w:val="28"/>
          <w:szCs w:val="28"/>
        </w:rPr>
        <w:t>l'an</w:t>
      </w:r>
      <w:proofErr w:type="spellEnd"/>
      <w:r w:rsidRPr="00EB0092">
        <w:rPr>
          <w:rFonts w:ascii="Tahoma" w:hAnsi="Tahoma" w:cs="Tahoma"/>
          <w:sz w:val="28"/>
          <w:szCs w:val="28"/>
        </w:rPr>
        <w:t xml:space="preserve"> e il quantum </w:t>
      </w:r>
      <w:proofErr w:type="spellStart"/>
      <w:r w:rsidRPr="00EB0092">
        <w:rPr>
          <w:rFonts w:ascii="Tahoma" w:hAnsi="Tahoma" w:cs="Tahoma"/>
          <w:sz w:val="28"/>
          <w:szCs w:val="28"/>
        </w:rPr>
        <w:t>debeatur</w:t>
      </w:r>
      <w:proofErr w:type="spellEnd"/>
      <w:r w:rsidRPr="00EB0092">
        <w:rPr>
          <w:rFonts w:ascii="Tahoma" w:hAnsi="Tahoma" w:cs="Tahoma"/>
          <w:sz w:val="28"/>
          <w:szCs w:val="28"/>
        </w:rPr>
        <w:t xml:space="preserve">. Detti elementi conoscitivi devono </w:t>
      </w:r>
      <w:r w:rsidR="00D27214">
        <w:rPr>
          <w:rFonts w:ascii="Tahoma" w:hAnsi="Tahoma" w:cs="Tahoma"/>
          <w:sz w:val="28"/>
          <w:szCs w:val="28"/>
        </w:rPr>
        <w:t xml:space="preserve">sempre </w:t>
      </w:r>
      <w:r w:rsidRPr="00EB0092">
        <w:rPr>
          <w:rFonts w:ascii="Tahoma" w:hAnsi="Tahoma" w:cs="Tahoma"/>
          <w:sz w:val="28"/>
          <w:szCs w:val="28"/>
        </w:rPr>
        <w:t xml:space="preserve">essere forniti all'interessato, non solo tempestivamente (e cioè inserendoli ab origine nel provvedimento impositivo), ma anche con quel grado di determinatezza ed intelligibilità che permetta al medesimo un esercizio non difficoltoso del diritto di difesa </w:t>
      </w:r>
      <w:r w:rsidRPr="00D92333">
        <w:rPr>
          <w:rFonts w:ascii="Tahoma" w:hAnsi="Tahoma" w:cs="Tahoma"/>
          <w:b/>
          <w:bCs/>
          <w:sz w:val="28"/>
          <w:szCs w:val="28"/>
        </w:rPr>
        <w:t>(Cass. 25 marzo 2014 n. 7056; Cass. 20 settembre 2013 n. 21564)</w:t>
      </w:r>
      <w:r w:rsidR="00770959" w:rsidRPr="00D92333">
        <w:rPr>
          <w:rFonts w:ascii="Tahoma" w:hAnsi="Tahoma" w:cs="Tahoma"/>
          <w:b/>
          <w:bCs/>
          <w:sz w:val="28"/>
          <w:szCs w:val="28"/>
        </w:rPr>
        <w:t>.</w:t>
      </w:r>
    </w:p>
    <w:p w14:paraId="6644E6A8" w14:textId="26B0EF50" w:rsidR="00070457" w:rsidRPr="00D24274" w:rsidRDefault="00070457" w:rsidP="00EB0092">
      <w:pPr>
        <w:spacing w:after="0" w:line="360" w:lineRule="auto"/>
        <w:jc w:val="both"/>
        <w:rPr>
          <w:rFonts w:ascii="Tahoma" w:hAnsi="Tahoma" w:cs="Tahoma"/>
          <w:b/>
          <w:bCs/>
          <w:sz w:val="28"/>
          <w:szCs w:val="28"/>
        </w:rPr>
      </w:pPr>
      <w:r w:rsidRPr="00D24274">
        <w:rPr>
          <w:rFonts w:ascii="Tahoma" w:hAnsi="Tahoma" w:cs="Tahoma"/>
          <w:b/>
          <w:bCs/>
          <w:sz w:val="28"/>
          <w:szCs w:val="28"/>
        </w:rPr>
        <w:lastRenderedPageBreak/>
        <w:t xml:space="preserve">In sede contenziosa, i contribuenti devono sollevare, in modo chiaro e preciso, </w:t>
      </w:r>
      <w:r w:rsidR="00D24274" w:rsidRPr="00D24274">
        <w:rPr>
          <w:rFonts w:ascii="Tahoma" w:hAnsi="Tahoma" w:cs="Tahoma"/>
          <w:b/>
          <w:bCs/>
          <w:sz w:val="28"/>
          <w:szCs w:val="28"/>
        </w:rPr>
        <w:t>tutte le eccezioni sopra esposte, più volte chiarite dalla Corte di Cassazione.</w:t>
      </w:r>
    </w:p>
    <w:p w14:paraId="7BF899BF" w14:textId="655EFB3A" w:rsidR="000F4389" w:rsidRDefault="00A801B8" w:rsidP="00EB0092">
      <w:pPr>
        <w:spacing w:after="0" w:line="360" w:lineRule="auto"/>
        <w:jc w:val="both"/>
        <w:rPr>
          <w:rFonts w:ascii="Tahoma" w:hAnsi="Tahoma" w:cs="Tahoma"/>
          <w:b/>
          <w:bCs/>
          <w:sz w:val="28"/>
          <w:szCs w:val="28"/>
        </w:rPr>
      </w:pPr>
      <w:r>
        <w:rPr>
          <w:rFonts w:ascii="Tahoma" w:hAnsi="Tahoma" w:cs="Tahoma"/>
          <w:b/>
          <w:bCs/>
          <w:sz w:val="28"/>
          <w:szCs w:val="28"/>
        </w:rPr>
        <w:t>Lecce, 12 dicembre 2020</w:t>
      </w:r>
    </w:p>
    <w:p w14:paraId="07D8D6E9" w14:textId="24B95F45" w:rsidR="00A801B8" w:rsidRDefault="00A801B8" w:rsidP="00EB0092">
      <w:pPr>
        <w:spacing w:after="0" w:line="360" w:lineRule="auto"/>
        <w:jc w:val="both"/>
        <w:rPr>
          <w:rFonts w:ascii="Tahoma" w:hAnsi="Tahoma" w:cs="Tahoma"/>
          <w:b/>
          <w:bCs/>
          <w:sz w:val="28"/>
          <w:szCs w:val="28"/>
        </w:rPr>
      </w:pPr>
    </w:p>
    <w:p w14:paraId="76889D80" w14:textId="174B15C4" w:rsidR="00A801B8" w:rsidRDefault="00A801B8" w:rsidP="00EB0092">
      <w:pPr>
        <w:spacing w:after="0" w:line="360" w:lineRule="auto"/>
        <w:jc w:val="both"/>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Avv. Maurizio Villani</w:t>
      </w:r>
    </w:p>
    <w:p w14:paraId="368ECAC2" w14:textId="3B037551" w:rsidR="00A801B8" w:rsidRPr="00A801B8" w:rsidRDefault="00A801B8" w:rsidP="00EB0092">
      <w:pPr>
        <w:spacing w:after="0" w:line="360" w:lineRule="auto"/>
        <w:jc w:val="both"/>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Avv. Alessandro Villani</w:t>
      </w:r>
    </w:p>
    <w:p w14:paraId="2C9CBB0E" w14:textId="061E7F5E" w:rsidR="000F4389" w:rsidRDefault="000F4389" w:rsidP="00EB0092">
      <w:pPr>
        <w:spacing w:after="0" w:line="360" w:lineRule="auto"/>
        <w:jc w:val="both"/>
        <w:rPr>
          <w:rFonts w:ascii="Tahoma" w:hAnsi="Tahoma" w:cs="Tahoma"/>
          <w:sz w:val="28"/>
          <w:szCs w:val="28"/>
        </w:rPr>
      </w:pPr>
    </w:p>
    <w:p w14:paraId="5B08FB4F" w14:textId="77777777" w:rsidR="00AF0586" w:rsidRDefault="00AF0586" w:rsidP="00EB0092">
      <w:pPr>
        <w:spacing w:after="0" w:line="360" w:lineRule="auto"/>
        <w:jc w:val="both"/>
        <w:rPr>
          <w:rFonts w:ascii="Tahoma" w:hAnsi="Tahoma" w:cs="Tahoma"/>
          <w:sz w:val="28"/>
          <w:szCs w:val="28"/>
        </w:rPr>
      </w:pPr>
    </w:p>
    <w:p w14:paraId="20BBCA57" w14:textId="77777777" w:rsidR="000F4389" w:rsidRPr="000F4389" w:rsidRDefault="000F4389" w:rsidP="000F4389">
      <w:pPr>
        <w:spacing w:after="0" w:line="360" w:lineRule="auto"/>
        <w:jc w:val="center"/>
        <w:rPr>
          <w:rFonts w:ascii="Tahoma" w:hAnsi="Tahoma" w:cs="Tahoma"/>
          <w:b/>
          <w:bCs/>
          <w:sz w:val="28"/>
          <w:szCs w:val="28"/>
        </w:rPr>
      </w:pPr>
      <w:r w:rsidRPr="000F4389">
        <w:rPr>
          <w:rFonts w:ascii="Tahoma" w:hAnsi="Tahoma" w:cs="Tahoma"/>
          <w:b/>
          <w:bCs/>
          <w:sz w:val="28"/>
          <w:szCs w:val="28"/>
        </w:rPr>
        <w:t>AVV. MAURIZIO VILLANI</w:t>
      </w:r>
    </w:p>
    <w:p w14:paraId="5F4E2C7E" w14:textId="77777777" w:rsidR="000F4389" w:rsidRPr="000F4389" w:rsidRDefault="000F4389" w:rsidP="000F4389">
      <w:pPr>
        <w:spacing w:after="0" w:line="360" w:lineRule="auto"/>
        <w:jc w:val="center"/>
        <w:rPr>
          <w:rFonts w:ascii="Tahoma" w:hAnsi="Tahoma" w:cs="Tahoma"/>
          <w:b/>
          <w:bCs/>
          <w:sz w:val="28"/>
          <w:szCs w:val="28"/>
        </w:rPr>
      </w:pPr>
      <w:r w:rsidRPr="000F4389">
        <w:rPr>
          <w:rFonts w:ascii="Tahoma" w:hAnsi="Tahoma" w:cs="Tahoma"/>
          <w:b/>
          <w:bCs/>
          <w:sz w:val="28"/>
          <w:szCs w:val="28"/>
        </w:rPr>
        <w:t>Avvocato Tributarista in Lecce</w:t>
      </w:r>
    </w:p>
    <w:p w14:paraId="550DC327" w14:textId="7EBA9917" w:rsidR="000F4389" w:rsidRPr="000F4389" w:rsidRDefault="000F4389" w:rsidP="000F4389">
      <w:pPr>
        <w:spacing w:after="0" w:line="360" w:lineRule="auto"/>
        <w:jc w:val="center"/>
        <w:rPr>
          <w:rFonts w:ascii="Tahoma" w:hAnsi="Tahoma" w:cs="Tahoma"/>
          <w:b/>
          <w:bCs/>
          <w:sz w:val="28"/>
          <w:szCs w:val="28"/>
        </w:rPr>
      </w:pPr>
      <w:r w:rsidRPr="000F4389">
        <w:rPr>
          <w:rFonts w:ascii="Tahoma" w:hAnsi="Tahoma" w:cs="Tahoma"/>
          <w:b/>
          <w:bCs/>
          <w:sz w:val="28"/>
          <w:szCs w:val="28"/>
        </w:rPr>
        <w:t>Patrocinante in Cassazione</w:t>
      </w:r>
    </w:p>
    <w:p w14:paraId="0C047FCB" w14:textId="77777777" w:rsidR="000F4389" w:rsidRPr="000F4389" w:rsidRDefault="000F4389" w:rsidP="000F4389">
      <w:pPr>
        <w:spacing w:after="0" w:line="360" w:lineRule="auto"/>
        <w:jc w:val="center"/>
        <w:rPr>
          <w:rFonts w:ascii="Tahoma" w:hAnsi="Tahoma" w:cs="Tahoma"/>
          <w:b/>
          <w:bCs/>
          <w:sz w:val="28"/>
          <w:szCs w:val="28"/>
        </w:rPr>
      </w:pPr>
      <w:r w:rsidRPr="000F4389">
        <w:rPr>
          <w:rFonts w:ascii="Tahoma" w:hAnsi="Tahoma" w:cs="Tahoma"/>
          <w:b/>
          <w:bCs/>
          <w:sz w:val="28"/>
          <w:szCs w:val="28"/>
        </w:rPr>
        <w:t>www.studiotributariovillani.it - e-mail avvocato@studiotributariovillani.it</w:t>
      </w:r>
    </w:p>
    <w:p w14:paraId="68354373" w14:textId="77777777" w:rsidR="000F4389" w:rsidRPr="00AD0E2F" w:rsidRDefault="000F4389" w:rsidP="000F4389">
      <w:pPr>
        <w:spacing w:after="0" w:line="360" w:lineRule="auto"/>
        <w:jc w:val="center"/>
        <w:rPr>
          <w:rFonts w:ascii="Tahoma" w:hAnsi="Tahoma" w:cs="Tahoma"/>
          <w:sz w:val="28"/>
          <w:szCs w:val="28"/>
        </w:rPr>
      </w:pPr>
    </w:p>
    <w:sectPr w:rsidR="000F4389" w:rsidRPr="00AD0E2F">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F56CC" w14:textId="77777777" w:rsidR="009C0596" w:rsidRDefault="009C0596" w:rsidP="00EB0092">
      <w:pPr>
        <w:spacing w:after="0" w:line="240" w:lineRule="auto"/>
      </w:pPr>
      <w:r>
        <w:separator/>
      </w:r>
    </w:p>
  </w:endnote>
  <w:endnote w:type="continuationSeparator" w:id="0">
    <w:p w14:paraId="5EEF8A13" w14:textId="77777777" w:rsidR="009C0596" w:rsidRDefault="009C0596" w:rsidP="00EB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511110"/>
      <w:docPartObj>
        <w:docPartGallery w:val="Page Numbers (Bottom of Page)"/>
        <w:docPartUnique/>
      </w:docPartObj>
    </w:sdtPr>
    <w:sdtEndPr/>
    <w:sdtContent>
      <w:p w14:paraId="20EFEC94" w14:textId="3A982D96" w:rsidR="00EB0092" w:rsidRDefault="00EB0092">
        <w:pPr>
          <w:pStyle w:val="Pidipagina"/>
          <w:jc w:val="right"/>
        </w:pPr>
        <w:r>
          <w:fldChar w:fldCharType="begin"/>
        </w:r>
        <w:r>
          <w:instrText>PAGE   \* MERGEFORMAT</w:instrText>
        </w:r>
        <w:r>
          <w:fldChar w:fldCharType="separate"/>
        </w:r>
        <w:r>
          <w:t>2</w:t>
        </w:r>
        <w:r>
          <w:fldChar w:fldCharType="end"/>
        </w:r>
      </w:p>
    </w:sdtContent>
  </w:sdt>
  <w:p w14:paraId="442E3E30" w14:textId="77777777" w:rsidR="00EB0092" w:rsidRDefault="00EB00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978A" w14:textId="77777777" w:rsidR="009C0596" w:rsidRDefault="009C0596" w:rsidP="00EB0092">
      <w:pPr>
        <w:spacing w:after="0" w:line="240" w:lineRule="auto"/>
      </w:pPr>
      <w:r>
        <w:separator/>
      </w:r>
    </w:p>
  </w:footnote>
  <w:footnote w:type="continuationSeparator" w:id="0">
    <w:p w14:paraId="324060CD" w14:textId="77777777" w:rsidR="009C0596" w:rsidRDefault="009C0596" w:rsidP="00EB0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E4"/>
    <w:rsid w:val="0005099E"/>
    <w:rsid w:val="00070457"/>
    <w:rsid w:val="000E42F3"/>
    <w:rsid w:val="000F4389"/>
    <w:rsid w:val="00255B15"/>
    <w:rsid w:val="002A4680"/>
    <w:rsid w:val="00311A50"/>
    <w:rsid w:val="004777F8"/>
    <w:rsid w:val="004D799D"/>
    <w:rsid w:val="005611EA"/>
    <w:rsid w:val="005B3313"/>
    <w:rsid w:val="005E012E"/>
    <w:rsid w:val="005F3365"/>
    <w:rsid w:val="00616B56"/>
    <w:rsid w:val="006900FA"/>
    <w:rsid w:val="006E5245"/>
    <w:rsid w:val="007000E4"/>
    <w:rsid w:val="00770959"/>
    <w:rsid w:val="00842D92"/>
    <w:rsid w:val="00845D3B"/>
    <w:rsid w:val="00874A23"/>
    <w:rsid w:val="00877CC5"/>
    <w:rsid w:val="00911698"/>
    <w:rsid w:val="00943ACC"/>
    <w:rsid w:val="009C0596"/>
    <w:rsid w:val="00A37386"/>
    <w:rsid w:val="00A74567"/>
    <w:rsid w:val="00A801B8"/>
    <w:rsid w:val="00A875D4"/>
    <w:rsid w:val="00AA4270"/>
    <w:rsid w:val="00AD0E2F"/>
    <w:rsid w:val="00AF0586"/>
    <w:rsid w:val="00B059A5"/>
    <w:rsid w:val="00B52ABE"/>
    <w:rsid w:val="00C738AE"/>
    <w:rsid w:val="00D24274"/>
    <w:rsid w:val="00D27214"/>
    <w:rsid w:val="00D92333"/>
    <w:rsid w:val="00DC3328"/>
    <w:rsid w:val="00E00B37"/>
    <w:rsid w:val="00E427AE"/>
    <w:rsid w:val="00E67B03"/>
    <w:rsid w:val="00E770ED"/>
    <w:rsid w:val="00EB0092"/>
    <w:rsid w:val="00FA2520"/>
    <w:rsid w:val="00FD0ADD"/>
    <w:rsid w:val="00FF6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91EE"/>
  <w15:chartTrackingRefBased/>
  <w15:docId w15:val="{4A3E8BB5-F9AB-4355-AD40-469C11B1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00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0092"/>
  </w:style>
  <w:style w:type="paragraph" w:styleId="Pidipagina">
    <w:name w:val="footer"/>
    <w:basedOn w:val="Normale"/>
    <w:link w:val="PidipaginaCarattere"/>
    <w:uiPriority w:val="99"/>
    <w:unhideWhenUsed/>
    <w:rsid w:val="00EB00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2020-12-12T08:27:00Z</cp:lastPrinted>
  <dcterms:created xsi:type="dcterms:W3CDTF">2020-12-12T09:00:00Z</dcterms:created>
  <dcterms:modified xsi:type="dcterms:W3CDTF">2020-12-12T09:00:00Z</dcterms:modified>
</cp:coreProperties>
</file>