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A0E9" w14:textId="57ED2FEB" w:rsidR="009B4023" w:rsidRPr="00B64099" w:rsidRDefault="00B64099" w:rsidP="00B64099">
      <w:pPr>
        <w:jc w:val="center"/>
        <w:rPr>
          <w:rFonts w:ascii="Times New Roman" w:hAnsi="Times New Roman"/>
          <w:b/>
          <w:bCs/>
          <w:color w:val="000000" w:themeColor="text1"/>
          <w:sz w:val="24"/>
          <w:szCs w:val="24"/>
          <w:u w:val="single"/>
        </w:rPr>
      </w:pPr>
      <w:r w:rsidRPr="00B64099">
        <w:rPr>
          <w:rFonts w:ascii="Times New Roman" w:hAnsi="Times New Roman"/>
          <w:b/>
          <w:bCs/>
          <w:color w:val="000000" w:themeColor="text1"/>
          <w:sz w:val="24"/>
          <w:szCs w:val="24"/>
          <w:u w:val="single"/>
          <w:shd w:val="clear" w:color="auto" w:fill="FFFFFF"/>
        </w:rPr>
        <w:t>IL DISCRIMEN TRA APPALTO GENUINO DI OPERE O SERVIZI E INTERPOSIZIONE DI MANODOPERA</w:t>
      </w:r>
    </w:p>
    <w:p w14:paraId="2334EEC0" w14:textId="77777777" w:rsidR="009B4023" w:rsidRPr="00A414C4" w:rsidRDefault="009B4023" w:rsidP="009B4023">
      <w:pPr>
        <w:spacing w:after="0" w:line="480" w:lineRule="exact"/>
        <w:jc w:val="both"/>
        <w:rPr>
          <w:rFonts w:ascii="Times New Roman" w:hAnsi="Times New Roman"/>
          <w:color w:val="000000" w:themeColor="text1"/>
          <w:sz w:val="24"/>
          <w:szCs w:val="24"/>
        </w:rPr>
      </w:pPr>
    </w:p>
    <w:p w14:paraId="40B80900" w14:textId="5DD903C0" w:rsidR="009B4023" w:rsidRPr="00A414C4" w:rsidRDefault="00EB4E18" w:rsidP="009B4023">
      <w:pPr>
        <w:spacing w:after="0" w:line="48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L</w:t>
      </w:r>
      <w:r w:rsidRPr="00A414C4">
        <w:rPr>
          <w:rFonts w:ascii="Times New Roman" w:hAnsi="Times New Roman"/>
          <w:color w:val="000000" w:themeColor="text1"/>
          <w:sz w:val="24"/>
          <w:szCs w:val="24"/>
        </w:rPr>
        <w:t xml:space="preserve">a </w:t>
      </w:r>
      <w:r w:rsidRPr="00EB4E18">
        <w:rPr>
          <w:rFonts w:ascii="Times New Roman" w:hAnsi="Times New Roman"/>
          <w:b/>
          <w:bCs/>
          <w:color w:val="000000" w:themeColor="text1"/>
          <w:sz w:val="24"/>
          <w:szCs w:val="24"/>
        </w:rPr>
        <w:t xml:space="preserve">Corte di Giustizia Tributaria di </w:t>
      </w:r>
      <w:r w:rsidR="00583F05">
        <w:rPr>
          <w:rFonts w:ascii="Times New Roman" w:hAnsi="Times New Roman"/>
          <w:b/>
          <w:bCs/>
          <w:color w:val="000000" w:themeColor="text1"/>
          <w:sz w:val="24"/>
          <w:szCs w:val="24"/>
        </w:rPr>
        <w:t>Secondo</w:t>
      </w:r>
      <w:r w:rsidRPr="00EB4E18">
        <w:rPr>
          <w:rFonts w:ascii="Times New Roman" w:hAnsi="Times New Roman"/>
          <w:b/>
          <w:bCs/>
          <w:color w:val="000000" w:themeColor="text1"/>
          <w:sz w:val="24"/>
          <w:szCs w:val="24"/>
        </w:rPr>
        <w:t xml:space="preserve"> Grado della Puglia – Sezione Staccata di Lecce</w:t>
      </w:r>
      <w:r>
        <w:rPr>
          <w:rFonts w:ascii="Times New Roman" w:hAnsi="Times New Roman"/>
          <w:color w:val="000000" w:themeColor="text1"/>
          <w:sz w:val="24"/>
          <w:szCs w:val="24"/>
        </w:rPr>
        <w:t>, c</w:t>
      </w:r>
      <w:r w:rsidR="009B4023" w:rsidRPr="00A414C4">
        <w:rPr>
          <w:rFonts w:ascii="Times New Roman" w:hAnsi="Times New Roman"/>
          <w:color w:val="000000" w:themeColor="text1"/>
          <w:sz w:val="24"/>
          <w:szCs w:val="24"/>
        </w:rPr>
        <w:t xml:space="preserve">on </w:t>
      </w:r>
      <w:r w:rsidR="009B4023" w:rsidRPr="00EB4E18">
        <w:rPr>
          <w:rFonts w:ascii="Times New Roman" w:hAnsi="Times New Roman"/>
          <w:b/>
          <w:bCs/>
          <w:color w:val="000000" w:themeColor="text1"/>
          <w:sz w:val="24"/>
          <w:szCs w:val="24"/>
        </w:rPr>
        <w:t>sentenza n. 2893/22 del 07 novembre 2022</w:t>
      </w:r>
      <w:r w:rsidR="009B4023" w:rsidRPr="00A414C4">
        <w:rPr>
          <w:rFonts w:ascii="Times New Roman" w:hAnsi="Times New Roman"/>
          <w:color w:val="000000" w:themeColor="text1"/>
          <w:sz w:val="24"/>
          <w:szCs w:val="24"/>
        </w:rPr>
        <w:t>, ha accolto l’appello proposto dal contribuente avverso l</w:t>
      </w:r>
      <w:r w:rsidR="00112600" w:rsidRPr="00A414C4">
        <w:rPr>
          <w:rFonts w:ascii="Times New Roman" w:hAnsi="Times New Roman"/>
          <w:color w:val="000000" w:themeColor="text1"/>
          <w:sz w:val="24"/>
          <w:szCs w:val="24"/>
        </w:rPr>
        <w:t>a</w:t>
      </w:r>
      <w:r w:rsidR="009B4023" w:rsidRPr="00A414C4">
        <w:rPr>
          <w:rFonts w:ascii="Times New Roman" w:hAnsi="Times New Roman"/>
          <w:color w:val="000000" w:themeColor="text1"/>
          <w:sz w:val="24"/>
          <w:szCs w:val="24"/>
        </w:rPr>
        <w:t xml:space="preserve"> sentenz</w:t>
      </w:r>
      <w:r w:rsidR="00112600" w:rsidRPr="00A414C4">
        <w:rPr>
          <w:rFonts w:ascii="Times New Roman" w:hAnsi="Times New Roman"/>
          <w:color w:val="000000" w:themeColor="text1"/>
          <w:sz w:val="24"/>
          <w:szCs w:val="24"/>
        </w:rPr>
        <w:t>a</w:t>
      </w:r>
      <w:r w:rsidR="009B4023" w:rsidRPr="00A414C4">
        <w:rPr>
          <w:rFonts w:ascii="Times New Roman" w:hAnsi="Times New Roman"/>
          <w:color w:val="000000" w:themeColor="text1"/>
          <w:sz w:val="24"/>
          <w:szCs w:val="24"/>
        </w:rPr>
        <w:t xml:space="preserve"> della CTP di Lecce che aveva </w:t>
      </w:r>
      <w:r w:rsidR="00112600" w:rsidRPr="00A414C4">
        <w:rPr>
          <w:rFonts w:ascii="Times New Roman" w:hAnsi="Times New Roman"/>
          <w:color w:val="000000" w:themeColor="text1"/>
          <w:sz w:val="24"/>
          <w:szCs w:val="24"/>
        </w:rPr>
        <w:t xml:space="preserve">rigettato </w:t>
      </w:r>
      <w:r w:rsidR="009B4023" w:rsidRPr="00A414C4">
        <w:rPr>
          <w:rFonts w:ascii="Times New Roman" w:hAnsi="Times New Roman"/>
          <w:color w:val="000000" w:themeColor="text1"/>
          <w:sz w:val="24"/>
          <w:szCs w:val="24"/>
        </w:rPr>
        <w:t>i</w:t>
      </w:r>
      <w:r w:rsidR="00112600" w:rsidRPr="00A414C4">
        <w:rPr>
          <w:rFonts w:ascii="Times New Roman" w:hAnsi="Times New Roman"/>
          <w:color w:val="000000" w:themeColor="text1"/>
          <w:sz w:val="24"/>
          <w:szCs w:val="24"/>
        </w:rPr>
        <w:t>l</w:t>
      </w:r>
      <w:r w:rsidR="009B4023" w:rsidRPr="00A414C4">
        <w:rPr>
          <w:rFonts w:ascii="Times New Roman" w:hAnsi="Times New Roman"/>
          <w:color w:val="000000" w:themeColor="text1"/>
          <w:sz w:val="24"/>
          <w:szCs w:val="24"/>
        </w:rPr>
        <w:t xml:space="preserve"> ricors</w:t>
      </w:r>
      <w:r w:rsidR="00112600" w:rsidRPr="00A414C4">
        <w:rPr>
          <w:rFonts w:ascii="Times New Roman" w:hAnsi="Times New Roman"/>
          <w:color w:val="000000" w:themeColor="text1"/>
          <w:sz w:val="24"/>
          <w:szCs w:val="24"/>
        </w:rPr>
        <w:t>o</w:t>
      </w:r>
      <w:r w:rsidR="009B4023" w:rsidRPr="00A414C4">
        <w:rPr>
          <w:rFonts w:ascii="Times New Roman" w:hAnsi="Times New Roman"/>
          <w:color w:val="000000" w:themeColor="text1"/>
          <w:sz w:val="24"/>
          <w:szCs w:val="24"/>
        </w:rPr>
        <w:t xml:space="preserve"> presentat</w:t>
      </w:r>
      <w:r w:rsidR="00112600" w:rsidRPr="00A414C4">
        <w:rPr>
          <w:rFonts w:ascii="Times New Roman" w:hAnsi="Times New Roman"/>
          <w:color w:val="000000" w:themeColor="text1"/>
          <w:sz w:val="24"/>
          <w:szCs w:val="24"/>
        </w:rPr>
        <w:t>o</w:t>
      </w:r>
      <w:r w:rsidR="003C1A1D">
        <w:rPr>
          <w:rFonts w:ascii="Times New Roman" w:hAnsi="Times New Roman"/>
          <w:color w:val="000000" w:themeColor="text1"/>
          <w:sz w:val="24"/>
          <w:szCs w:val="24"/>
        </w:rPr>
        <w:t xml:space="preserve"> dalla società edile</w:t>
      </w:r>
      <w:r w:rsidR="009B4023" w:rsidRPr="00A414C4">
        <w:rPr>
          <w:rFonts w:ascii="Times New Roman" w:hAnsi="Times New Roman"/>
          <w:color w:val="000000" w:themeColor="text1"/>
          <w:sz w:val="24"/>
          <w:szCs w:val="24"/>
        </w:rPr>
        <w:t>, rappresentata e difesa in entrambi i gradi di giudizio dall’</w:t>
      </w:r>
      <w:r w:rsidR="009B4023" w:rsidRPr="004275D9">
        <w:rPr>
          <w:rFonts w:ascii="Times New Roman" w:hAnsi="Times New Roman"/>
          <w:b/>
          <w:bCs/>
          <w:color w:val="000000" w:themeColor="text1"/>
          <w:sz w:val="24"/>
          <w:szCs w:val="24"/>
        </w:rPr>
        <w:t>Avv. Maurizio Villani.</w:t>
      </w:r>
    </w:p>
    <w:p w14:paraId="6F3E2940" w14:textId="3BC4353E" w:rsidR="009B4023" w:rsidRPr="00A414C4" w:rsidRDefault="009B4023" w:rsidP="009B4023">
      <w:pPr>
        <w:spacing w:after="0" w:line="480" w:lineRule="exact"/>
        <w:jc w:val="both"/>
        <w:rPr>
          <w:rFonts w:ascii="Times New Roman" w:hAnsi="Times New Roman"/>
          <w:color w:val="FF0000"/>
          <w:sz w:val="24"/>
          <w:szCs w:val="24"/>
        </w:rPr>
      </w:pPr>
      <w:r w:rsidRPr="00A414C4">
        <w:rPr>
          <w:rFonts w:ascii="Times New Roman" w:hAnsi="Times New Roman"/>
          <w:color w:val="000000" w:themeColor="text1"/>
          <w:sz w:val="24"/>
          <w:szCs w:val="24"/>
        </w:rPr>
        <w:t xml:space="preserve">In particolare, la vicenda ha ad oggetto l’impugnazione di </w:t>
      </w:r>
      <w:r w:rsidR="00112600" w:rsidRPr="00A414C4">
        <w:rPr>
          <w:rFonts w:ascii="Times New Roman" w:hAnsi="Times New Roman"/>
          <w:color w:val="000000" w:themeColor="text1"/>
          <w:sz w:val="24"/>
          <w:szCs w:val="24"/>
        </w:rPr>
        <w:t xml:space="preserve">un </w:t>
      </w:r>
      <w:r w:rsidRPr="00A414C4">
        <w:rPr>
          <w:rFonts w:ascii="Times New Roman" w:hAnsi="Times New Roman"/>
          <w:color w:val="000000" w:themeColor="text1"/>
          <w:sz w:val="24"/>
          <w:szCs w:val="24"/>
        </w:rPr>
        <w:t>avvis</w:t>
      </w:r>
      <w:r w:rsidR="00112600" w:rsidRPr="00A414C4">
        <w:rPr>
          <w:rFonts w:ascii="Times New Roman" w:hAnsi="Times New Roman"/>
          <w:color w:val="000000" w:themeColor="text1"/>
          <w:sz w:val="24"/>
          <w:szCs w:val="24"/>
        </w:rPr>
        <w:t>o</w:t>
      </w:r>
      <w:r w:rsidRPr="00A414C4">
        <w:rPr>
          <w:rFonts w:ascii="Times New Roman" w:hAnsi="Times New Roman"/>
          <w:color w:val="000000" w:themeColor="text1"/>
          <w:sz w:val="24"/>
          <w:szCs w:val="24"/>
        </w:rPr>
        <w:t xml:space="preserve"> di accertamento</w:t>
      </w:r>
      <w:r w:rsidR="004275D9">
        <w:rPr>
          <w:rFonts w:ascii="Times New Roman" w:hAnsi="Times New Roman"/>
          <w:color w:val="000000" w:themeColor="text1"/>
          <w:sz w:val="24"/>
          <w:szCs w:val="24"/>
        </w:rPr>
        <w:t xml:space="preserve">, </w:t>
      </w:r>
      <w:r w:rsidRPr="00A414C4">
        <w:rPr>
          <w:rFonts w:ascii="Times New Roman" w:hAnsi="Times New Roman"/>
          <w:color w:val="000000" w:themeColor="text1"/>
          <w:sz w:val="24"/>
          <w:szCs w:val="24"/>
        </w:rPr>
        <w:t>relativ</w:t>
      </w:r>
      <w:r w:rsidR="00112600" w:rsidRPr="00A414C4">
        <w:rPr>
          <w:rFonts w:ascii="Times New Roman" w:hAnsi="Times New Roman"/>
          <w:color w:val="000000" w:themeColor="text1"/>
          <w:sz w:val="24"/>
          <w:szCs w:val="24"/>
        </w:rPr>
        <w:t>o</w:t>
      </w:r>
      <w:r w:rsidRPr="00A414C4">
        <w:rPr>
          <w:rFonts w:ascii="Times New Roman" w:hAnsi="Times New Roman"/>
          <w:color w:val="000000" w:themeColor="text1"/>
          <w:sz w:val="24"/>
          <w:szCs w:val="24"/>
        </w:rPr>
        <w:t xml:space="preserve"> </w:t>
      </w:r>
      <w:r w:rsidR="00112600" w:rsidRPr="00A414C4">
        <w:rPr>
          <w:rFonts w:ascii="Times New Roman" w:hAnsi="Times New Roman"/>
          <w:color w:val="000000" w:themeColor="text1"/>
          <w:sz w:val="24"/>
          <w:szCs w:val="24"/>
        </w:rPr>
        <w:t xml:space="preserve">all’anno d’imposta </w:t>
      </w:r>
      <w:r w:rsidR="00EB4E18">
        <w:rPr>
          <w:rFonts w:ascii="Times New Roman" w:hAnsi="Times New Roman"/>
          <w:color w:val="000000" w:themeColor="text1"/>
          <w:sz w:val="24"/>
          <w:szCs w:val="24"/>
        </w:rPr>
        <w:t>2015</w:t>
      </w:r>
      <w:r w:rsidR="004275D9">
        <w:rPr>
          <w:rFonts w:ascii="Times New Roman" w:hAnsi="Times New Roman"/>
          <w:color w:val="000000" w:themeColor="text1"/>
          <w:sz w:val="24"/>
          <w:szCs w:val="24"/>
        </w:rPr>
        <w:t xml:space="preserve">, </w:t>
      </w:r>
      <w:r w:rsidRPr="00A414C4">
        <w:rPr>
          <w:rFonts w:ascii="Times New Roman" w:hAnsi="Times New Roman"/>
          <w:color w:val="000000" w:themeColor="text1"/>
          <w:sz w:val="24"/>
          <w:szCs w:val="24"/>
        </w:rPr>
        <w:t>con i</w:t>
      </w:r>
      <w:r w:rsidR="00112600" w:rsidRPr="00A414C4">
        <w:rPr>
          <w:rFonts w:ascii="Times New Roman" w:hAnsi="Times New Roman"/>
          <w:color w:val="000000" w:themeColor="text1"/>
          <w:sz w:val="24"/>
          <w:szCs w:val="24"/>
        </w:rPr>
        <w:t>l</w:t>
      </w:r>
      <w:r w:rsidRPr="00A414C4">
        <w:rPr>
          <w:rFonts w:ascii="Times New Roman" w:hAnsi="Times New Roman"/>
          <w:color w:val="000000" w:themeColor="text1"/>
          <w:sz w:val="24"/>
          <w:szCs w:val="24"/>
        </w:rPr>
        <w:t xml:space="preserve"> qual</w:t>
      </w:r>
      <w:r w:rsidR="00112600" w:rsidRPr="00A414C4">
        <w:rPr>
          <w:rFonts w:ascii="Times New Roman" w:hAnsi="Times New Roman"/>
          <w:color w:val="000000" w:themeColor="text1"/>
          <w:sz w:val="24"/>
          <w:szCs w:val="24"/>
        </w:rPr>
        <w:t>e</w:t>
      </w:r>
      <w:r w:rsidRPr="00A414C4">
        <w:rPr>
          <w:rFonts w:ascii="Times New Roman" w:hAnsi="Times New Roman"/>
          <w:color w:val="000000" w:themeColor="text1"/>
          <w:sz w:val="24"/>
          <w:szCs w:val="24"/>
        </w:rPr>
        <w:t xml:space="preserve"> l’</w:t>
      </w:r>
      <w:r w:rsidR="003C1A1D">
        <w:rPr>
          <w:rFonts w:ascii="Times New Roman" w:hAnsi="Times New Roman"/>
          <w:color w:val="000000" w:themeColor="text1"/>
          <w:sz w:val="24"/>
          <w:szCs w:val="24"/>
        </w:rPr>
        <w:t>Agenzia delle Entrate</w:t>
      </w:r>
      <w:r w:rsidR="00EB4E18">
        <w:rPr>
          <w:rFonts w:ascii="Times New Roman" w:hAnsi="Times New Roman"/>
          <w:color w:val="000000" w:themeColor="text1"/>
          <w:sz w:val="24"/>
          <w:szCs w:val="24"/>
        </w:rPr>
        <w:t xml:space="preserve"> </w:t>
      </w:r>
      <w:r w:rsidR="004275D9">
        <w:rPr>
          <w:rFonts w:ascii="Times New Roman" w:hAnsi="Times New Roman"/>
          <w:color w:val="000000" w:themeColor="text1"/>
          <w:sz w:val="24"/>
          <w:szCs w:val="24"/>
        </w:rPr>
        <w:t xml:space="preserve">ha contestato </w:t>
      </w:r>
      <w:r w:rsidRPr="00A414C4">
        <w:rPr>
          <w:rFonts w:ascii="Times New Roman" w:hAnsi="Times New Roman"/>
          <w:color w:val="000000" w:themeColor="text1"/>
          <w:sz w:val="24"/>
          <w:szCs w:val="24"/>
        </w:rPr>
        <w:t xml:space="preserve">alla società </w:t>
      </w:r>
      <w:r w:rsidR="003C1A1D">
        <w:rPr>
          <w:rFonts w:ascii="Times New Roman" w:hAnsi="Times New Roman"/>
          <w:color w:val="000000" w:themeColor="text1"/>
          <w:sz w:val="24"/>
          <w:szCs w:val="24"/>
        </w:rPr>
        <w:t xml:space="preserve">edile </w:t>
      </w:r>
      <w:r w:rsidRPr="00A414C4">
        <w:rPr>
          <w:rFonts w:ascii="Times New Roman" w:hAnsi="Times New Roman"/>
          <w:color w:val="000000" w:themeColor="text1"/>
          <w:sz w:val="24"/>
          <w:szCs w:val="24"/>
        </w:rPr>
        <w:t xml:space="preserve">un maggior reddito di impresa ed un maggior volume di affari, con conseguente rettifica ai fini IRES, IRAP ed IVA, il tutto per una pretesa impositiva </w:t>
      </w:r>
      <w:r w:rsidR="00B64099">
        <w:rPr>
          <w:rFonts w:ascii="Times New Roman" w:hAnsi="Times New Roman"/>
          <w:color w:val="000000" w:themeColor="text1"/>
          <w:sz w:val="24"/>
          <w:szCs w:val="24"/>
        </w:rPr>
        <w:t>superiore a trecentomila euro</w:t>
      </w:r>
      <w:r w:rsidRPr="00B64099">
        <w:rPr>
          <w:rFonts w:ascii="Times New Roman" w:hAnsi="Times New Roman"/>
          <w:color w:val="000000" w:themeColor="text1"/>
          <w:sz w:val="24"/>
          <w:szCs w:val="24"/>
        </w:rPr>
        <w:t>.</w:t>
      </w:r>
    </w:p>
    <w:p w14:paraId="67AEE270" w14:textId="004680F7" w:rsidR="00EB4E18" w:rsidRPr="00716D54" w:rsidRDefault="009B4023" w:rsidP="009B4023">
      <w:pPr>
        <w:spacing w:after="0" w:line="480" w:lineRule="exact"/>
        <w:jc w:val="both"/>
        <w:rPr>
          <w:rFonts w:ascii="Times New Roman" w:hAnsi="Times New Roman"/>
          <w:color w:val="000000" w:themeColor="text1"/>
          <w:sz w:val="24"/>
          <w:szCs w:val="24"/>
        </w:rPr>
      </w:pPr>
      <w:r w:rsidRPr="00716D54">
        <w:rPr>
          <w:rFonts w:ascii="Times New Roman" w:hAnsi="Times New Roman"/>
          <w:color w:val="000000" w:themeColor="text1"/>
          <w:sz w:val="24"/>
          <w:szCs w:val="24"/>
        </w:rPr>
        <w:t xml:space="preserve">Nello specifico, l’Agenzia delle Entrate poneva a base delle proprie contestazioni solo ed esclusivamente </w:t>
      </w:r>
      <w:r w:rsidR="00A414C4" w:rsidRPr="00716D54">
        <w:rPr>
          <w:rFonts w:ascii="Times New Roman" w:hAnsi="Times New Roman"/>
          <w:color w:val="000000" w:themeColor="text1"/>
          <w:sz w:val="24"/>
          <w:szCs w:val="24"/>
        </w:rPr>
        <w:t>una verifica dell’Ispettorato del Lavoro</w:t>
      </w:r>
      <w:r w:rsidR="003C1A1D">
        <w:rPr>
          <w:rFonts w:ascii="Times New Roman" w:hAnsi="Times New Roman"/>
          <w:color w:val="000000" w:themeColor="text1"/>
          <w:sz w:val="24"/>
          <w:szCs w:val="24"/>
        </w:rPr>
        <w:t xml:space="preserve">, </w:t>
      </w:r>
      <w:r w:rsidR="00A414C4" w:rsidRPr="00716D54">
        <w:rPr>
          <w:rFonts w:ascii="Times New Roman" w:hAnsi="Times New Roman"/>
          <w:color w:val="000000" w:themeColor="text1"/>
          <w:sz w:val="24"/>
          <w:szCs w:val="24"/>
        </w:rPr>
        <w:t xml:space="preserve">all’esito della quale veniva contestata la nullità dei contratti di appalto </w:t>
      </w:r>
      <w:r w:rsidR="00BD702F">
        <w:rPr>
          <w:rFonts w:ascii="Times New Roman" w:hAnsi="Times New Roman"/>
          <w:color w:val="000000" w:themeColor="text1"/>
          <w:sz w:val="24"/>
          <w:szCs w:val="24"/>
        </w:rPr>
        <w:t xml:space="preserve">- </w:t>
      </w:r>
      <w:r w:rsidR="00A414C4" w:rsidRPr="00716D54">
        <w:rPr>
          <w:rFonts w:ascii="Times New Roman" w:hAnsi="Times New Roman"/>
          <w:color w:val="000000" w:themeColor="text1"/>
          <w:sz w:val="24"/>
          <w:szCs w:val="24"/>
        </w:rPr>
        <w:t>stipulati tra la società contribuente e una cooperativa operante nel sistema dell’</w:t>
      </w:r>
      <w:proofErr w:type="spellStart"/>
      <w:r w:rsidR="00A414C4" w:rsidRPr="00716D54">
        <w:rPr>
          <w:rFonts w:ascii="Times New Roman" w:hAnsi="Times New Roman"/>
          <w:color w:val="000000" w:themeColor="text1"/>
          <w:sz w:val="24"/>
          <w:szCs w:val="24"/>
        </w:rPr>
        <w:t>ausiliar</w:t>
      </w:r>
      <w:r w:rsidR="00174B98">
        <w:rPr>
          <w:rFonts w:ascii="Times New Roman" w:hAnsi="Times New Roman"/>
          <w:color w:val="000000" w:themeColor="text1"/>
          <w:sz w:val="24"/>
          <w:szCs w:val="24"/>
        </w:rPr>
        <w:t>i</w:t>
      </w:r>
      <w:r w:rsidR="00A414C4" w:rsidRPr="00716D54">
        <w:rPr>
          <w:rFonts w:ascii="Times New Roman" w:hAnsi="Times New Roman"/>
          <w:color w:val="000000" w:themeColor="text1"/>
          <w:sz w:val="24"/>
          <w:szCs w:val="24"/>
        </w:rPr>
        <w:t>ato</w:t>
      </w:r>
      <w:proofErr w:type="spellEnd"/>
      <w:r w:rsidR="00BD702F">
        <w:rPr>
          <w:rFonts w:ascii="Times New Roman" w:hAnsi="Times New Roman"/>
          <w:color w:val="000000" w:themeColor="text1"/>
          <w:sz w:val="24"/>
          <w:szCs w:val="24"/>
        </w:rPr>
        <w:t xml:space="preserve"> - </w:t>
      </w:r>
      <w:r w:rsidR="00A414C4" w:rsidRPr="00716D54">
        <w:rPr>
          <w:rFonts w:ascii="Times New Roman" w:hAnsi="Times New Roman"/>
          <w:color w:val="000000" w:themeColor="text1"/>
          <w:sz w:val="24"/>
          <w:szCs w:val="24"/>
        </w:rPr>
        <w:t>per la mancanza dei requisiti specifici richiesti dalle norme vigenti (art.</w:t>
      </w:r>
      <w:r w:rsidR="003C1A1D">
        <w:rPr>
          <w:rFonts w:ascii="Times New Roman" w:hAnsi="Times New Roman"/>
          <w:color w:val="000000" w:themeColor="text1"/>
          <w:sz w:val="24"/>
          <w:szCs w:val="24"/>
        </w:rPr>
        <w:t xml:space="preserve"> </w:t>
      </w:r>
      <w:r w:rsidR="00A414C4" w:rsidRPr="00716D54">
        <w:rPr>
          <w:rFonts w:ascii="Times New Roman" w:hAnsi="Times New Roman"/>
          <w:color w:val="000000" w:themeColor="text1"/>
          <w:sz w:val="24"/>
          <w:szCs w:val="24"/>
        </w:rPr>
        <w:t>29 del d.lgs.276/2003).</w:t>
      </w:r>
    </w:p>
    <w:p w14:paraId="18D1E6FB" w14:textId="72E61B41" w:rsidR="00BD702F" w:rsidRDefault="00EB4E18" w:rsidP="00D17EC9">
      <w:pPr>
        <w:spacing w:after="0" w:line="480" w:lineRule="exact"/>
        <w:jc w:val="both"/>
      </w:pPr>
      <w:r w:rsidRPr="00716D54">
        <w:rPr>
          <w:rFonts w:ascii="Times New Roman" w:hAnsi="Times New Roman"/>
          <w:color w:val="000000" w:themeColor="text1"/>
          <w:sz w:val="24"/>
          <w:szCs w:val="24"/>
        </w:rPr>
        <w:t xml:space="preserve">Più nel dettaglio, a fronte della contestazione da parte dei funzionari dell’Ispettorato del Lavoro circa la nullità dei contratti di appalto per la mancanza dei requisiti specifici richiesti, </w:t>
      </w:r>
      <w:r w:rsidR="00BD702F">
        <w:rPr>
          <w:rFonts w:ascii="Times New Roman" w:hAnsi="Times New Roman"/>
          <w:color w:val="000000" w:themeColor="text1"/>
          <w:sz w:val="24"/>
          <w:szCs w:val="24"/>
        </w:rPr>
        <w:t xml:space="preserve">l’Agenzia delle Entrate </w:t>
      </w:r>
      <w:r w:rsidRPr="00716D54">
        <w:rPr>
          <w:rFonts w:ascii="Times New Roman" w:hAnsi="Times New Roman"/>
          <w:color w:val="000000" w:themeColor="text1"/>
          <w:sz w:val="24"/>
          <w:szCs w:val="24"/>
        </w:rPr>
        <w:t xml:space="preserve">ha </w:t>
      </w:r>
      <w:r w:rsidR="0023745A">
        <w:rPr>
          <w:rFonts w:ascii="Times New Roman" w:hAnsi="Times New Roman"/>
          <w:color w:val="000000" w:themeColor="text1"/>
          <w:sz w:val="24"/>
          <w:szCs w:val="24"/>
        </w:rPr>
        <w:t xml:space="preserve">riqualificato </w:t>
      </w:r>
      <w:r w:rsidRPr="00716D54">
        <w:rPr>
          <w:rFonts w:ascii="Times New Roman" w:hAnsi="Times New Roman"/>
          <w:color w:val="000000" w:themeColor="text1"/>
          <w:sz w:val="24"/>
          <w:szCs w:val="24"/>
        </w:rPr>
        <w:t xml:space="preserve">la prestazione resa nei suddetti contratti di appalto </w:t>
      </w:r>
      <w:r w:rsidR="0023745A">
        <w:rPr>
          <w:rFonts w:ascii="Times New Roman" w:hAnsi="Times New Roman"/>
          <w:color w:val="000000" w:themeColor="text1"/>
          <w:sz w:val="24"/>
          <w:szCs w:val="24"/>
        </w:rPr>
        <w:t xml:space="preserve">come </w:t>
      </w:r>
      <w:r w:rsidR="003C1A1D">
        <w:rPr>
          <w:rFonts w:ascii="Times New Roman" w:hAnsi="Times New Roman"/>
          <w:color w:val="000000" w:themeColor="text1"/>
          <w:sz w:val="24"/>
          <w:szCs w:val="24"/>
        </w:rPr>
        <w:t>“</w:t>
      </w:r>
      <w:r w:rsidRPr="00716D54">
        <w:rPr>
          <w:rFonts w:ascii="Times New Roman" w:hAnsi="Times New Roman"/>
          <w:color w:val="000000" w:themeColor="text1"/>
          <w:sz w:val="24"/>
          <w:szCs w:val="24"/>
        </w:rPr>
        <w:t>somministrazione di manodopera</w:t>
      </w:r>
      <w:r w:rsidR="003C1A1D">
        <w:rPr>
          <w:rFonts w:ascii="Times New Roman" w:hAnsi="Times New Roman"/>
          <w:color w:val="000000" w:themeColor="text1"/>
          <w:sz w:val="24"/>
          <w:szCs w:val="24"/>
        </w:rPr>
        <w:t>”</w:t>
      </w:r>
      <w:r w:rsidRPr="00716D54">
        <w:rPr>
          <w:rFonts w:ascii="Times New Roman" w:hAnsi="Times New Roman"/>
          <w:color w:val="000000" w:themeColor="text1"/>
          <w:sz w:val="24"/>
          <w:szCs w:val="24"/>
        </w:rPr>
        <w:t xml:space="preserve"> e</w:t>
      </w:r>
      <w:r w:rsidR="003C1A1D">
        <w:rPr>
          <w:rFonts w:ascii="Times New Roman" w:hAnsi="Times New Roman"/>
          <w:color w:val="000000" w:themeColor="text1"/>
          <w:sz w:val="24"/>
          <w:szCs w:val="24"/>
        </w:rPr>
        <w:t>,</w:t>
      </w:r>
      <w:r w:rsidRPr="00716D54">
        <w:rPr>
          <w:rFonts w:ascii="Times New Roman" w:hAnsi="Times New Roman"/>
          <w:color w:val="000000" w:themeColor="text1"/>
          <w:sz w:val="24"/>
          <w:szCs w:val="24"/>
        </w:rPr>
        <w:t xml:space="preserve"> su tale diversa qualificazione, ha applicato il diverso trattamento fiscale</w:t>
      </w:r>
      <w:r w:rsidR="0023745A">
        <w:rPr>
          <w:rFonts w:ascii="Times New Roman" w:hAnsi="Times New Roman"/>
          <w:color w:val="000000" w:themeColor="text1"/>
          <w:sz w:val="24"/>
          <w:szCs w:val="24"/>
        </w:rPr>
        <w:t xml:space="preserve">, </w:t>
      </w:r>
      <w:r w:rsidR="00BD702F">
        <w:rPr>
          <w:rFonts w:ascii="Times New Roman" w:hAnsi="Times New Roman"/>
          <w:color w:val="000000" w:themeColor="text1"/>
          <w:sz w:val="24"/>
          <w:szCs w:val="24"/>
        </w:rPr>
        <w:t>cui consegue l’</w:t>
      </w:r>
      <w:r w:rsidR="00716D54" w:rsidRPr="00716D54">
        <w:rPr>
          <w:rFonts w:ascii="Times New Roman" w:hAnsi="Times New Roman"/>
          <w:color w:val="000000" w:themeColor="text1"/>
          <w:sz w:val="24"/>
          <w:szCs w:val="24"/>
        </w:rPr>
        <w:t xml:space="preserve">inapplicabilità dell’IVA, </w:t>
      </w:r>
      <w:r w:rsidR="00BD702F">
        <w:rPr>
          <w:rFonts w:ascii="Times New Roman" w:hAnsi="Times New Roman"/>
          <w:color w:val="000000" w:themeColor="text1"/>
          <w:sz w:val="24"/>
          <w:szCs w:val="24"/>
        </w:rPr>
        <w:t>l’</w:t>
      </w:r>
      <w:r w:rsidR="00716D54" w:rsidRPr="00716D54">
        <w:rPr>
          <w:rFonts w:ascii="Times New Roman" w:hAnsi="Times New Roman"/>
          <w:color w:val="000000" w:themeColor="text1"/>
          <w:sz w:val="24"/>
          <w:szCs w:val="24"/>
        </w:rPr>
        <w:t xml:space="preserve">indeducibilità dei costi ai fini IRAP nonché </w:t>
      </w:r>
      <w:r w:rsidR="00BD702F">
        <w:rPr>
          <w:rFonts w:ascii="Times New Roman" w:hAnsi="Times New Roman"/>
          <w:color w:val="000000" w:themeColor="text1"/>
          <w:sz w:val="24"/>
          <w:szCs w:val="24"/>
        </w:rPr>
        <w:t>l’</w:t>
      </w:r>
      <w:r w:rsidR="00716D54" w:rsidRPr="00716D54">
        <w:rPr>
          <w:rFonts w:ascii="Times New Roman" w:hAnsi="Times New Roman"/>
          <w:color w:val="000000" w:themeColor="text1"/>
          <w:sz w:val="24"/>
          <w:szCs w:val="24"/>
        </w:rPr>
        <w:t>indeducibilità di quei costi eccedenti il costo riferito alla retribuzione dei lavoratori dipendenti della cooperativa</w:t>
      </w:r>
      <w:r w:rsidR="00716D54">
        <w:rPr>
          <w:rFonts w:ascii="Times New Roman" w:hAnsi="Times New Roman"/>
          <w:color w:val="000000" w:themeColor="text1"/>
          <w:sz w:val="24"/>
          <w:szCs w:val="24"/>
        </w:rPr>
        <w:t>.</w:t>
      </w:r>
      <w:r w:rsidR="00D17EC9" w:rsidRPr="00D17EC9">
        <w:t xml:space="preserve"> </w:t>
      </w:r>
    </w:p>
    <w:p w14:paraId="2C1DA4B7" w14:textId="7A08A1CA" w:rsidR="003C1A1D" w:rsidRPr="003C1A1D" w:rsidRDefault="00D17EC9" w:rsidP="00D17EC9">
      <w:pPr>
        <w:spacing w:after="0" w:line="480" w:lineRule="exact"/>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In altri termini, </w:t>
      </w:r>
      <w:r w:rsidRPr="003C1A1D">
        <w:rPr>
          <w:rFonts w:ascii="Times New Roman" w:hAnsi="Times New Roman"/>
          <w:b/>
          <w:bCs/>
          <w:color w:val="000000" w:themeColor="text1"/>
          <w:sz w:val="24"/>
          <w:szCs w:val="24"/>
        </w:rPr>
        <w:t xml:space="preserve">la controversia fiscale </w:t>
      </w:r>
      <w:r w:rsidR="0023745A" w:rsidRPr="003C1A1D">
        <w:rPr>
          <w:rFonts w:ascii="Times New Roman" w:hAnsi="Times New Roman"/>
          <w:b/>
          <w:bCs/>
          <w:color w:val="000000" w:themeColor="text1"/>
          <w:sz w:val="24"/>
          <w:szCs w:val="24"/>
        </w:rPr>
        <w:t xml:space="preserve">ha </w:t>
      </w:r>
      <w:r w:rsidRPr="003C1A1D">
        <w:rPr>
          <w:rFonts w:ascii="Times New Roman" w:hAnsi="Times New Roman"/>
          <w:b/>
          <w:bCs/>
          <w:color w:val="000000" w:themeColor="text1"/>
          <w:sz w:val="24"/>
          <w:szCs w:val="24"/>
        </w:rPr>
        <w:t>riguarda</w:t>
      </w:r>
      <w:r w:rsidR="0023745A" w:rsidRPr="003C1A1D">
        <w:rPr>
          <w:rFonts w:ascii="Times New Roman" w:hAnsi="Times New Roman"/>
          <w:b/>
          <w:bCs/>
          <w:color w:val="000000" w:themeColor="text1"/>
          <w:sz w:val="24"/>
          <w:szCs w:val="24"/>
        </w:rPr>
        <w:t>to</w:t>
      </w:r>
      <w:r w:rsidRPr="003C1A1D">
        <w:rPr>
          <w:rFonts w:ascii="Times New Roman" w:hAnsi="Times New Roman"/>
          <w:b/>
          <w:bCs/>
          <w:color w:val="000000" w:themeColor="text1"/>
          <w:sz w:val="24"/>
          <w:szCs w:val="24"/>
        </w:rPr>
        <w:t xml:space="preserve"> </w:t>
      </w:r>
      <w:r w:rsidR="00BD702F" w:rsidRPr="003C1A1D">
        <w:rPr>
          <w:rFonts w:ascii="Times New Roman" w:hAnsi="Times New Roman"/>
          <w:b/>
          <w:bCs/>
          <w:color w:val="000000" w:themeColor="text1"/>
          <w:sz w:val="24"/>
          <w:szCs w:val="24"/>
        </w:rPr>
        <w:t xml:space="preserve">il sostanziale </w:t>
      </w:r>
      <w:r w:rsidRPr="003C1A1D">
        <w:rPr>
          <w:rFonts w:ascii="Times New Roman" w:hAnsi="Times New Roman"/>
          <w:b/>
          <w:bCs/>
          <w:color w:val="000000" w:themeColor="text1"/>
          <w:sz w:val="24"/>
          <w:szCs w:val="24"/>
        </w:rPr>
        <w:t xml:space="preserve">inquadramento </w:t>
      </w:r>
      <w:r w:rsidR="003C1A1D" w:rsidRPr="003C1A1D">
        <w:rPr>
          <w:rFonts w:ascii="Times New Roman" w:hAnsi="Times New Roman"/>
          <w:b/>
          <w:bCs/>
          <w:color w:val="000000" w:themeColor="text1"/>
          <w:sz w:val="24"/>
          <w:szCs w:val="24"/>
        </w:rPr>
        <w:t>normativ</w:t>
      </w:r>
      <w:r w:rsidRPr="003C1A1D">
        <w:rPr>
          <w:rFonts w:ascii="Times New Roman" w:hAnsi="Times New Roman"/>
          <w:b/>
          <w:bCs/>
          <w:color w:val="000000" w:themeColor="text1"/>
          <w:sz w:val="24"/>
          <w:szCs w:val="24"/>
        </w:rPr>
        <w:t xml:space="preserve">o del </w:t>
      </w:r>
      <w:r w:rsidR="00BD702F" w:rsidRPr="003C1A1D">
        <w:rPr>
          <w:rFonts w:ascii="Times New Roman" w:hAnsi="Times New Roman"/>
          <w:b/>
          <w:bCs/>
          <w:color w:val="000000" w:themeColor="text1"/>
          <w:sz w:val="24"/>
          <w:szCs w:val="24"/>
        </w:rPr>
        <w:t xml:space="preserve">rapporto giuridico </w:t>
      </w:r>
      <w:r w:rsidRPr="003C1A1D">
        <w:rPr>
          <w:rFonts w:ascii="Times New Roman" w:hAnsi="Times New Roman"/>
          <w:b/>
          <w:bCs/>
          <w:color w:val="000000" w:themeColor="text1"/>
          <w:sz w:val="24"/>
          <w:szCs w:val="24"/>
        </w:rPr>
        <w:t xml:space="preserve">intercorso tra la società e la cooperativa, </w:t>
      </w:r>
      <w:r w:rsidR="003C1A1D" w:rsidRPr="003C1A1D">
        <w:rPr>
          <w:rFonts w:ascii="Times New Roman" w:hAnsi="Times New Roman"/>
          <w:b/>
          <w:bCs/>
          <w:color w:val="000000" w:themeColor="text1"/>
          <w:sz w:val="24"/>
          <w:szCs w:val="24"/>
        </w:rPr>
        <w:t>con lo scopo di accertare se, nel caso di specie, si configura</w:t>
      </w:r>
      <w:r w:rsidR="00032380">
        <w:rPr>
          <w:rFonts w:ascii="Times New Roman" w:hAnsi="Times New Roman"/>
          <w:b/>
          <w:bCs/>
          <w:color w:val="000000" w:themeColor="text1"/>
          <w:sz w:val="24"/>
          <w:szCs w:val="24"/>
        </w:rPr>
        <w:t xml:space="preserve">va </w:t>
      </w:r>
      <w:r w:rsidR="003C1A1D" w:rsidRPr="003C1A1D">
        <w:rPr>
          <w:rFonts w:ascii="Times New Roman" w:hAnsi="Times New Roman"/>
          <w:b/>
          <w:bCs/>
          <w:color w:val="000000" w:themeColor="text1"/>
          <w:sz w:val="24"/>
          <w:szCs w:val="24"/>
        </w:rPr>
        <w:t>un’ipotesi di contratto di appalto ovvero di somministrazione di manodopera.</w:t>
      </w:r>
    </w:p>
    <w:p w14:paraId="2003FD90" w14:textId="514E34E6" w:rsidR="009B4023" w:rsidRPr="00BD702F" w:rsidRDefault="009B4023" w:rsidP="009B4023">
      <w:pPr>
        <w:spacing w:after="0" w:line="480" w:lineRule="exact"/>
        <w:jc w:val="both"/>
        <w:rPr>
          <w:rFonts w:ascii="Times New Roman" w:hAnsi="Times New Roman"/>
          <w:color w:val="000000" w:themeColor="text1"/>
          <w:sz w:val="24"/>
          <w:szCs w:val="24"/>
        </w:rPr>
      </w:pPr>
      <w:r w:rsidRPr="00BD702F">
        <w:rPr>
          <w:rFonts w:ascii="Times New Roman" w:hAnsi="Times New Roman"/>
          <w:color w:val="000000" w:themeColor="text1"/>
          <w:sz w:val="24"/>
          <w:szCs w:val="24"/>
        </w:rPr>
        <w:t>La società, nel costituirsi in giudizio, ha ricostruito puntualmente l’origine e lo scopo di ogni singola operazione</w:t>
      </w:r>
      <w:r w:rsidR="00A414C4" w:rsidRPr="00BD702F">
        <w:rPr>
          <w:rFonts w:ascii="Times New Roman" w:hAnsi="Times New Roman"/>
          <w:color w:val="000000" w:themeColor="text1"/>
          <w:sz w:val="24"/>
          <w:szCs w:val="24"/>
        </w:rPr>
        <w:t xml:space="preserve"> commerciale</w:t>
      </w:r>
      <w:r w:rsidRPr="00BD702F">
        <w:rPr>
          <w:rFonts w:ascii="Times New Roman" w:hAnsi="Times New Roman"/>
          <w:color w:val="000000" w:themeColor="text1"/>
          <w:sz w:val="24"/>
          <w:szCs w:val="24"/>
        </w:rPr>
        <w:t xml:space="preserve">, mediante la produzione di corposa documentazione, volta a dimostrare </w:t>
      </w:r>
      <w:r w:rsidR="00EB4E18" w:rsidRPr="00BD702F">
        <w:rPr>
          <w:rFonts w:ascii="Times New Roman" w:hAnsi="Times New Roman"/>
          <w:color w:val="000000" w:themeColor="text1"/>
          <w:sz w:val="24"/>
          <w:szCs w:val="24"/>
        </w:rPr>
        <w:t xml:space="preserve">che </w:t>
      </w:r>
      <w:r w:rsidR="00EB4E18" w:rsidRPr="00BD702F">
        <w:rPr>
          <w:rFonts w:ascii="Times New Roman" w:hAnsi="Times New Roman"/>
          <w:color w:val="000000" w:themeColor="text1"/>
          <w:sz w:val="24"/>
          <w:szCs w:val="24"/>
        </w:rPr>
        <w:lastRenderedPageBreak/>
        <w:t>le operazioni attene</w:t>
      </w:r>
      <w:r w:rsidR="00FF7426">
        <w:rPr>
          <w:rFonts w:ascii="Times New Roman" w:hAnsi="Times New Roman"/>
          <w:color w:val="000000" w:themeColor="text1"/>
          <w:sz w:val="24"/>
          <w:szCs w:val="24"/>
        </w:rPr>
        <w:t>vano</w:t>
      </w:r>
      <w:r w:rsidR="00EB4E18" w:rsidRPr="00BD702F">
        <w:rPr>
          <w:rFonts w:ascii="Times New Roman" w:hAnsi="Times New Roman"/>
          <w:color w:val="000000" w:themeColor="text1"/>
          <w:sz w:val="24"/>
          <w:szCs w:val="24"/>
        </w:rPr>
        <w:t xml:space="preserve"> ad un contratto di appalto</w:t>
      </w:r>
      <w:r w:rsidR="00D17EC9" w:rsidRPr="00BD702F">
        <w:rPr>
          <w:rFonts w:ascii="Times New Roman" w:hAnsi="Times New Roman"/>
          <w:color w:val="000000" w:themeColor="text1"/>
          <w:sz w:val="24"/>
          <w:szCs w:val="24"/>
        </w:rPr>
        <w:t xml:space="preserve"> e che, pertanto, il regime fiscale applicato era legittimo e corretto</w:t>
      </w:r>
      <w:r w:rsidRPr="00BD702F">
        <w:rPr>
          <w:rFonts w:ascii="Times New Roman" w:hAnsi="Times New Roman"/>
          <w:color w:val="000000" w:themeColor="text1"/>
          <w:sz w:val="24"/>
          <w:szCs w:val="24"/>
        </w:rPr>
        <w:t>.</w:t>
      </w:r>
    </w:p>
    <w:p w14:paraId="339AAC5C" w14:textId="39F088A9" w:rsidR="00583F05" w:rsidRPr="003C1A1D" w:rsidRDefault="00BD702F" w:rsidP="00D17EC9">
      <w:pPr>
        <w:widowControl w:val="0"/>
        <w:spacing w:after="0" w:line="480" w:lineRule="exact"/>
        <w:jc w:val="both"/>
        <w:rPr>
          <w:rFonts w:ascii="Times New Roman" w:eastAsia="Times New Roman" w:hAnsi="Times New Roman"/>
          <w:color w:val="000000" w:themeColor="text1"/>
          <w:sz w:val="24"/>
          <w:szCs w:val="24"/>
          <w:lang w:eastAsia="it-IT"/>
        </w:rPr>
      </w:pPr>
      <w:r w:rsidRPr="003C1A1D">
        <w:rPr>
          <w:rFonts w:ascii="Times New Roman" w:eastAsia="Times New Roman" w:hAnsi="Times New Roman"/>
          <w:b/>
          <w:bCs/>
          <w:color w:val="000000" w:themeColor="text1"/>
          <w:sz w:val="24"/>
          <w:szCs w:val="24"/>
          <w:lang w:eastAsia="it-IT"/>
        </w:rPr>
        <w:t>Ad ulteriore conferma dell’illegittima riqualificazione operata dall’Ufficio</w:t>
      </w:r>
      <w:r w:rsidR="00716D54" w:rsidRPr="003C1A1D">
        <w:rPr>
          <w:rFonts w:ascii="Times New Roman" w:eastAsia="Times New Roman" w:hAnsi="Times New Roman"/>
          <w:color w:val="000000" w:themeColor="text1"/>
          <w:sz w:val="24"/>
          <w:szCs w:val="24"/>
          <w:lang w:eastAsia="it-IT"/>
        </w:rPr>
        <w:t>, nelle more del giudizio, la società contribuente</w:t>
      </w:r>
      <w:r w:rsidR="00D17EC9" w:rsidRPr="003C1A1D">
        <w:rPr>
          <w:rFonts w:ascii="Times New Roman" w:eastAsia="Times New Roman" w:hAnsi="Times New Roman"/>
          <w:color w:val="000000" w:themeColor="text1"/>
          <w:sz w:val="24"/>
          <w:szCs w:val="24"/>
          <w:lang w:eastAsia="it-IT"/>
        </w:rPr>
        <w:t xml:space="preserve"> ha evidenziato che </w:t>
      </w:r>
      <w:r w:rsidR="00D17EC9" w:rsidRPr="003C1A1D">
        <w:rPr>
          <w:rFonts w:ascii="Times New Roman" w:eastAsia="Times New Roman" w:hAnsi="Times New Roman"/>
          <w:b/>
          <w:bCs/>
          <w:color w:val="000000" w:themeColor="text1"/>
          <w:sz w:val="24"/>
          <w:szCs w:val="24"/>
          <w:lang w:eastAsia="it-IT"/>
        </w:rPr>
        <w:t>la controversia oggetto di giudizio</w:t>
      </w:r>
      <w:r w:rsidR="00583F05" w:rsidRPr="003C1A1D">
        <w:rPr>
          <w:rFonts w:ascii="Times New Roman" w:eastAsia="Times New Roman" w:hAnsi="Times New Roman"/>
          <w:color w:val="000000" w:themeColor="text1"/>
          <w:sz w:val="24"/>
          <w:szCs w:val="24"/>
          <w:lang w:eastAsia="it-IT"/>
        </w:rPr>
        <w:t xml:space="preserve"> (</w:t>
      </w:r>
      <w:r w:rsidR="00D17EC9" w:rsidRPr="003C1A1D">
        <w:rPr>
          <w:rFonts w:ascii="Times New Roman" w:eastAsia="Times New Roman" w:hAnsi="Times New Roman"/>
          <w:color w:val="000000" w:themeColor="text1"/>
          <w:sz w:val="24"/>
          <w:szCs w:val="24"/>
          <w:lang w:eastAsia="it-IT"/>
        </w:rPr>
        <w:t>relativa all’anno d’imposta 2015</w:t>
      </w:r>
      <w:r w:rsidR="00583F05" w:rsidRPr="003C1A1D">
        <w:rPr>
          <w:rFonts w:ascii="Times New Roman" w:eastAsia="Times New Roman" w:hAnsi="Times New Roman"/>
          <w:color w:val="000000" w:themeColor="text1"/>
          <w:sz w:val="24"/>
          <w:szCs w:val="24"/>
          <w:lang w:eastAsia="it-IT"/>
        </w:rPr>
        <w:t>),</w:t>
      </w:r>
      <w:r w:rsidR="00D17EC9" w:rsidRPr="003C1A1D">
        <w:rPr>
          <w:rFonts w:ascii="Times New Roman" w:eastAsia="Times New Roman" w:hAnsi="Times New Roman"/>
          <w:color w:val="000000" w:themeColor="text1"/>
          <w:sz w:val="24"/>
          <w:szCs w:val="24"/>
          <w:lang w:eastAsia="it-IT"/>
        </w:rPr>
        <w:t xml:space="preserve"> </w:t>
      </w:r>
      <w:r w:rsidR="00583F05" w:rsidRPr="003C1A1D">
        <w:rPr>
          <w:rFonts w:ascii="Times New Roman" w:eastAsia="Times New Roman" w:hAnsi="Times New Roman"/>
          <w:b/>
          <w:bCs/>
          <w:color w:val="000000" w:themeColor="text1"/>
          <w:sz w:val="24"/>
          <w:szCs w:val="24"/>
          <w:lang w:eastAsia="it-IT"/>
        </w:rPr>
        <w:t>era già stata oggetto di due diverse pronunce</w:t>
      </w:r>
      <w:r w:rsidR="00583F05" w:rsidRPr="003C1A1D">
        <w:rPr>
          <w:rFonts w:ascii="Times New Roman" w:eastAsia="Times New Roman" w:hAnsi="Times New Roman"/>
          <w:color w:val="000000" w:themeColor="text1"/>
          <w:sz w:val="24"/>
          <w:szCs w:val="24"/>
          <w:lang w:eastAsia="it-IT"/>
        </w:rPr>
        <w:t xml:space="preserve"> - una emessa dal Tribunale Civile di Lecce – Sez. Lavoro (relativa ai rapporti con l’INAIL) e l’altra emessa dalla </w:t>
      </w:r>
      <w:r w:rsidR="00583F05" w:rsidRPr="003C1A1D">
        <w:rPr>
          <w:rFonts w:ascii="Times New Roman" w:eastAsia="Times New Roman" w:hAnsi="Times New Roman"/>
          <w:b/>
          <w:bCs/>
          <w:color w:val="000000" w:themeColor="text1"/>
          <w:sz w:val="24"/>
          <w:szCs w:val="24"/>
          <w:lang w:eastAsia="it-IT"/>
        </w:rPr>
        <w:t>Commissione Tributaria Provinciale di Lecce</w:t>
      </w:r>
      <w:r w:rsidR="00FF7426">
        <w:rPr>
          <w:rFonts w:ascii="Times New Roman" w:eastAsia="Times New Roman" w:hAnsi="Times New Roman"/>
          <w:b/>
          <w:bCs/>
          <w:color w:val="000000" w:themeColor="text1"/>
          <w:sz w:val="24"/>
          <w:szCs w:val="24"/>
          <w:lang w:eastAsia="it-IT"/>
        </w:rPr>
        <w:t xml:space="preserve"> (</w:t>
      </w:r>
      <w:r w:rsidR="00583F05" w:rsidRPr="003C1A1D">
        <w:rPr>
          <w:rFonts w:ascii="Times New Roman" w:eastAsia="Times New Roman" w:hAnsi="Times New Roman"/>
          <w:color w:val="000000" w:themeColor="text1"/>
          <w:sz w:val="24"/>
          <w:szCs w:val="24"/>
          <w:lang w:eastAsia="it-IT"/>
        </w:rPr>
        <w:t>ma con riferimento ad altro anno</w:t>
      </w:r>
      <w:r w:rsidR="003C1A1D">
        <w:rPr>
          <w:rFonts w:ascii="Times New Roman" w:eastAsia="Times New Roman" w:hAnsi="Times New Roman"/>
          <w:color w:val="000000" w:themeColor="text1"/>
          <w:sz w:val="24"/>
          <w:szCs w:val="24"/>
          <w:lang w:eastAsia="it-IT"/>
        </w:rPr>
        <w:t xml:space="preserve"> </w:t>
      </w:r>
      <w:r w:rsidR="00583F05" w:rsidRPr="003C1A1D">
        <w:rPr>
          <w:rFonts w:ascii="Times New Roman" w:eastAsia="Times New Roman" w:hAnsi="Times New Roman"/>
          <w:color w:val="000000" w:themeColor="text1"/>
          <w:sz w:val="24"/>
          <w:szCs w:val="24"/>
          <w:lang w:eastAsia="it-IT"/>
        </w:rPr>
        <w:t>d’imposta</w:t>
      </w:r>
      <w:r w:rsidR="00032380">
        <w:rPr>
          <w:rFonts w:ascii="Times New Roman" w:eastAsia="Times New Roman" w:hAnsi="Times New Roman"/>
          <w:color w:val="000000" w:themeColor="text1"/>
          <w:sz w:val="24"/>
          <w:szCs w:val="24"/>
          <w:lang w:eastAsia="it-IT"/>
        </w:rPr>
        <w:t xml:space="preserve">, </w:t>
      </w:r>
      <w:r w:rsidR="00583F05" w:rsidRPr="003C1A1D">
        <w:rPr>
          <w:rFonts w:ascii="Times New Roman" w:eastAsia="Times New Roman" w:hAnsi="Times New Roman"/>
          <w:color w:val="000000" w:themeColor="text1"/>
          <w:sz w:val="24"/>
          <w:szCs w:val="24"/>
          <w:lang w:eastAsia="it-IT"/>
        </w:rPr>
        <w:t xml:space="preserve">2014) - </w:t>
      </w:r>
      <w:r w:rsidR="00583F05" w:rsidRPr="003C1A1D">
        <w:rPr>
          <w:rFonts w:ascii="Times New Roman" w:eastAsia="Times New Roman" w:hAnsi="Times New Roman"/>
          <w:b/>
          <w:bCs/>
          <w:color w:val="000000" w:themeColor="text1"/>
          <w:sz w:val="24"/>
          <w:szCs w:val="24"/>
          <w:lang w:eastAsia="it-IT"/>
        </w:rPr>
        <w:t xml:space="preserve">le quali, confermando la tesi difensiva della società, </w:t>
      </w:r>
      <w:r w:rsidR="00FF7426">
        <w:rPr>
          <w:rFonts w:ascii="Times New Roman" w:eastAsia="Times New Roman" w:hAnsi="Times New Roman"/>
          <w:b/>
          <w:bCs/>
          <w:color w:val="000000" w:themeColor="text1"/>
          <w:sz w:val="24"/>
          <w:szCs w:val="24"/>
          <w:lang w:eastAsia="it-IT"/>
        </w:rPr>
        <w:t xml:space="preserve">avevano </w:t>
      </w:r>
      <w:r w:rsidR="00583F05" w:rsidRPr="003C1A1D">
        <w:rPr>
          <w:rFonts w:ascii="Times New Roman" w:eastAsia="Times New Roman" w:hAnsi="Times New Roman"/>
          <w:b/>
          <w:bCs/>
          <w:color w:val="000000" w:themeColor="text1"/>
          <w:sz w:val="24"/>
          <w:szCs w:val="24"/>
          <w:lang w:eastAsia="it-IT"/>
        </w:rPr>
        <w:t xml:space="preserve">ritenuto che i contratti intercorsi tra le due imprese </w:t>
      </w:r>
      <w:r w:rsidR="00FF7426">
        <w:rPr>
          <w:rFonts w:ascii="Times New Roman" w:eastAsia="Times New Roman" w:hAnsi="Times New Roman"/>
          <w:b/>
          <w:bCs/>
          <w:color w:val="000000" w:themeColor="text1"/>
          <w:sz w:val="24"/>
          <w:szCs w:val="24"/>
          <w:lang w:eastAsia="it-IT"/>
        </w:rPr>
        <w:t>erano</w:t>
      </w:r>
      <w:r w:rsidR="003C1A1D">
        <w:rPr>
          <w:rFonts w:ascii="Times New Roman" w:eastAsia="Times New Roman" w:hAnsi="Times New Roman"/>
          <w:b/>
          <w:bCs/>
          <w:color w:val="000000" w:themeColor="text1"/>
          <w:sz w:val="24"/>
          <w:szCs w:val="24"/>
          <w:lang w:eastAsia="it-IT"/>
        </w:rPr>
        <w:t xml:space="preserve"> </w:t>
      </w:r>
      <w:r w:rsidR="00583F05" w:rsidRPr="003C1A1D">
        <w:rPr>
          <w:rFonts w:ascii="Times New Roman" w:eastAsia="Times New Roman" w:hAnsi="Times New Roman"/>
          <w:b/>
          <w:bCs/>
          <w:color w:val="000000" w:themeColor="text1"/>
          <w:sz w:val="24"/>
          <w:szCs w:val="24"/>
          <w:lang w:eastAsia="it-IT"/>
        </w:rPr>
        <w:t xml:space="preserve">da qualificarsi </w:t>
      </w:r>
      <w:r w:rsidR="003C1A1D">
        <w:rPr>
          <w:rFonts w:ascii="Times New Roman" w:eastAsia="Times New Roman" w:hAnsi="Times New Roman"/>
          <w:b/>
          <w:bCs/>
          <w:color w:val="000000" w:themeColor="text1"/>
          <w:sz w:val="24"/>
          <w:szCs w:val="24"/>
          <w:lang w:eastAsia="it-IT"/>
        </w:rPr>
        <w:t xml:space="preserve">come </w:t>
      </w:r>
      <w:r w:rsidR="00583F05" w:rsidRPr="003C1A1D">
        <w:rPr>
          <w:rFonts w:ascii="Times New Roman" w:eastAsia="Times New Roman" w:hAnsi="Times New Roman"/>
          <w:b/>
          <w:bCs/>
          <w:color w:val="000000" w:themeColor="text1"/>
          <w:sz w:val="24"/>
          <w:szCs w:val="24"/>
          <w:lang w:eastAsia="it-IT"/>
        </w:rPr>
        <w:t>“</w:t>
      </w:r>
      <w:r w:rsidR="00583F05" w:rsidRPr="003C1A1D">
        <w:rPr>
          <w:rFonts w:ascii="Times New Roman" w:eastAsia="Times New Roman" w:hAnsi="Times New Roman"/>
          <w:b/>
          <w:bCs/>
          <w:i/>
          <w:iCs/>
          <w:color w:val="000000" w:themeColor="text1"/>
          <w:sz w:val="24"/>
          <w:szCs w:val="24"/>
          <w:lang w:eastAsia="it-IT"/>
        </w:rPr>
        <w:t>contratti di appalto genuini</w:t>
      </w:r>
      <w:r w:rsidR="00583F05" w:rsidRPr="003C1A1D">
        <w:rPr>
          <w:rFonts w:ascii="Times New Roman" w:eastAsia="Times New Roman" w:hAnsi="Times New Roman"/>
          <w:b/>
          <w:bCs/>
          <w:color w:val="000000" w:themeColor="text1"/>
          <w:sz w:val="24"/>
          <w:szCs w:val="24"/>
          <w:lang w:eastAsia="it-IT"/>
        </w:rPr>
        <w:t>” e</w:t>
      </w:r>
      <w:r w:rsidR="003C1A1D">
        <w:rPr>
          <w:rFonts w:ascii="Times New Roman" w:eastAsia="Times New Roman" w:hAnsi="Times New Roman"/>
          <w:b/>
          <w:bCs/>
          <w:color w:val="000000" w:themeColor="text1"/>
          <w:sz w:val="24"/>
          <w:szCs w:val="24"/>
          <w:lang w:eastAsia="it-IT"/>
        </w:rPr>
        <w:t xml:space="preserve">, </w:t>
      </w:r>
      <w:r w:rsidR="00583F05" w:rsidRPr="003C1A1D">
        <w:rPr>
          <w:rFonts w:ascii="Times New Roman" w:eastAsia="Times New Roman" w:hAnsi="Times New Roman"/>
          <w:b/>
          <w:bCs/>
          <w:color w:val="000000" w:themeColor="text1"/>
          <w:sz w:val="24"/>
          <w:szCs w:val="24"/>
          <w:lang w:eastAsia="it-IT"/>
        </w:rPr>
        <w:t>quindi</w:t>
      </w:r>
      <w:r w:rsidR="003C1A1D">
        <w:rPr>
          <w:rFonts w:ascii="Times New Roman" w:eastAsia="Times New Roman" w:hAnsi="Times New Roman"/>
          <w:b/>
          <w:bCs/>
          <w:color w:val="000000" w:themeColor="text1"/>
          <w:sz w:val="24"/>
          <w:szCs w:val="24"/>
          <w:lang w:eastAsia="it-IT"/>
        </w:rPr>
        <w:t xml:space="preserve">, </w:t>
      </w:r>
      <w:r w:rsidR="00583F05" w:rsidRPr="003C1A1D">
        <w:rPr>
          <w:rFonts w:ascii="Times New Roman" w:eastAsia="Times New Roman" w:hAnsi="Times New Roman"/>
          <w:b/>
          <w:bCs/>
          <w:color w:val="000000" w:themeColor="text1"/>
          <w:sz w:val="24"/>
          <w:szCs w:val="24"/>
          <w:lang w:eastAsia="it-IT"/>
        </w:rPr>
        <w:t>leciti.</w:t>
      </w:r>
      <w:r w:rsidR="00583F05" w:rsidRPr="003C1A1D">
        <w:rPr>
          <w:rFonts w:ascii="Times New Roman" w:eastAsia="Times New Roman" w:hAnsi="Times New Roman"/>
          <w:color w:val="000000" w:themeColor="text1"/>
          <w:sz w:val="24"/>
          <w:szCs w:val="24"/>
          <w:lang w:eastAsia="it-IT"/>
        </w:rPr>
        <w:t xml:space="preserve"> </w:t>
      </w:r>
    </w:p>
    <w:p w14:paraId="0A8350BA" w14:textId="14249CB0" w:rsidR="00712084" w:rsidRPr="00583F05" w:rsidRDefault="00583F05" w:rsidP="00712084">
      <w:pPr>
        <w:widowControl w:val="0"/>
        <w:spacing w:after="0" w:line="480" w:lineRule="exact"/>
        <w:jc w:val="both"/>
        <w:rPr>
          <w:rFonts w:ascii="Times New Roman" w:eastAsia="Times New Roman" w:hAnsi="Times New Roman"/>
          <w:color w:val="FF0000"/>
          <w:sz w:val="24"/>
          <w:szCs w:val="24"/>
          <w:lang w:eastAsia="it-IT"/>
        </w:rPr>
      </w:pPr>
      <w:r w:rsidRPr="003C1A1D">
        <w:rPr>
          <w:rFonts w:ascii="Times New Roman" w:eastAsia="Times New Roman" w:hAnsi="Times New Roman"/>
          <w:color w:val="000000" w:themeColor="text1"/>
          <w:sz w:val="24"/>
          <w:szCs w:val="24"/>
          <w:lang w:eastAsia="it-IT"/>
        </w:rPr>
        <w:t>In particolare</w:t>
      </w:r>
      <w:r w:rsidR="00D17EC9" w:rsidRPr="003C1A1D">
        <w:rPr>
          <w:rFonts w:ascii="Times New Roman" w:eastAsia="Times New Roman" w:hAnsi="Times New Roman"/>
          <w:color w:val="000000" w:themeColor="text1"/>
          <w:sz w:val="24"/>
          <w:szCs w:val="24"/>
          <w:lang w:eastAsia="it-IT"/>
        </w:rPr>
        <w:t>, la Corte</w:t>
      </w:r>
      <w:r w:rsidRPr="003C1A1D">
        <w:rPr>
          <w:rFonts w:ascii="Times New Roman" w:eastAsia="Times New Roman" w:hAnsi="Times New Roman"/>
          <w:color w:val="000000" w:themeColor="text1"/>
          <w:sz w:val="24"/>
          <w:szCs w:val="24"/>
          <w:lang w:eastAsia="it-IT"/>
        </w:rPr>
        <w:t xml:space="preserve"> di Giustizia di Secondo Grado con la sentenza in commento</w:t>
      </w:r>
      <w:r w:rsidR="00D17EC9" w:rsidRPr="003C1A1D">
        <w:rPr>
          <w:rFonts w:ascii="Times New Roman" w:eastAsia="Times New Roman" w:hAnsi="Times New Roman"/>
          <w:color w:val="000000" w:themeColor="text1"/>
          <w:sz w:val="24"/>
          <w:szCs w:val="24"/>
          <w:lang w:eastAsia="it-IT"/>
        </w:rPr>
        <w:t>, condividendo le argomentazioni del Tribunale di Lecce -Sez.</w:t>
      </w:r>
      <w:r w:rsidR="00712084" w:rsidRPr="003C1A1D">
        <w:rPr>
          <w:rFonts w:ascii="Times New Roman" w:eastAsia="Times New Roman" w:hAnsi="Times New Roman"/>
          <w:color w:val="000000" w:themeColor="text1"/>
          <w:sz w:val="24"/>
          <w:szCs w:val="24"/>
          <w:lang w:eastAsia="it-IT"/>
        </w:rPr>
        <w:t xml:space="preserve"> </w:t>
      </w:r>
      <w:r w:rsidR="00D17EC9" w:rsidRPr="003C1A1D">
        <w:rPr>
          <w:rFonts w:ascii="Times New Roman" w:eastAsia="Times New Roman" w:hAnsi="Times New Roman"/>
          <w:color w:val="000000" w:themeColor="text1"/>
          <w:sz w:val="24"/>
          <w:szCs w:val="24"/>
          <w:lang w:eastAsia="it-IT"/>
        </w:rPr>
        <w:t>Lavoro e quelle dei giudici della C</w:t>
      </w:r>
      <w:r w:rsidR="003C1A1D">
        <w:rPr>
          <w:rFonts w:ascii="Times New Roman" w:eastAsia="Times New Roman" w:hAnsi="Times New Roman"/>
          <w:color w:val="000000" w:themeColor="text1"/>
          <w:sz w:val="24"/>
          <w:szCs w:val="24"/>
          <w:lang w:eastAsia="it-IT"/>
        </w:rPr>
        <w:t>TP di Lecce</w:t>
      </w:r>
      <w:r w:rsidR="00032380">
        <w:rPr>
          <w:rFonts w:ascii="Times New Roman" w:eastAsia="Times New Roman" w:hAnsi="Times New Roman"/>
          <w:color w:val="000000" w:themeColor="text1"/>
          <w:sz w:val="24"/>
          <w:szCs w:val="24"/>
          <w:lang w:eastAsia="it-IT"/>
        </w:rPr>
        <w:t xml:space="preserve"> per l’anno d’imposta 2014, </w:t>
      </w:r>
      <w:r w:rsidR="00BD702F" w:rsidRPr="003C1A1D">
        <w:rPr>
          <w:rFonts w:ascii="Times New Roman" w:eastAsia="Times New Roman" w:hAnsi="Times New Roman"/>
          <w:color w:val="000000" w:themeColor="text1"/>
          <w:sz w:val="24"/>
          <w:szCs w:val="24"/>
          <w:lang w:eastAsia="it-IT"/>
        </w:rPr>
        <w:t xml:space="preserve">ha </w:t>
      </w:r>
      <w:r w:rsidRPr="003C1A1D">
        <w:rPr>
          <w:rFonts w:ascii="Times New Roman" w:eastAsia="Times New Roman" w:hAnsi="Times New Roman"/>
          <w:color w:val="000000" w:themeColor="text1"/>
          <w:sz w:val="24"/>
          <w:szCs w:val="24"/>
          <w:lang w:eastAsia="it-IT"/>
        </w:rPr>
        <w:t>rilevato che</w:t>
      </w:r>
      <w:r w:rsidR="00712084" w:rsidRPr="003C1A1D">
        <w:rPr>
          <w:rFonts w:ascii="Times New Roman" w:eastAsia="Times New Roman" w:hAnsi="Times New Roman"/>
          <w:color w:val="000000" w:themeColor="text1"/>
          <w:sz w:val="24"/>
          <w:szCs w:val="24"/>
          <w:lang w:eastAsia="it-IT"/>
        </w:rPr>
        <w:t xml:space="preserve"> </w:t>
      </w:r>
      <w:r w:rsidR="00712084" w:rsidRPr="003C1A1D">
        <w:rPr>
          <w:rFonts w:ascii="Times New Roman" w:eastAsia="Times New Roman" w:hAnsi="Times New Roman"/>
          <w:b/>
          <w:bCs/>
          <w:color w:val="000000" w:themeColor="text1"/>
          <w:sz w:val="24"/>
          <w:szCs w:val="24"/>
          <w:lang w:eastAsia="it-IT"/>
        </w:rPr>
        <w:t xml:space="preserve">il metro di giudizio per la valutazione della genuinità dell'appalto </w:t>
      </w:r>
      <w:r w:rsidR="00BD702F" w:rsidRPr="003C1A1D">
        <w:rPr>
          <w:rFonts w:ascii="Times New Roman" w:eastAsia="Times New Roman" w:hAnsi="Times New Roman"/>
          <w:color w:val="000000" w:themeColor="text1"/>
          <w:sz w:val="24"/>
          <w:szCs w:val="24"/>
          <w:lang w:eastAsia="it-IT"/>
        </w:rPr>
        <w:t xml:space="preserve">si rinviene nella </w:t>
      </w:r>
      <w:r w:rsidR="00712084" w:rsidRPr="00712084">
        <w:rPr>
          <w:rFonts w:ascii="Times New Roman" w:eastAsia="Times New Roman" w:hAnsi="Times New Roman"/>
          <w:color w:val="000000" w:themeColor="text1"/>
          <w:sz w:val="24"/>
          <w:szCs w:val="24"/>
          <w:lang w:eastAsia="it-IT"/>
        </w:rPr>
        <w:t>giurisprudenza di legittimità (Cass. 15557/2019) secondo cui: &lt;&lt;</w:t>
      </w:r>
      <w:r w:rsidR="00712084" w:rsidRPr="00712084">
        <w:rPr>
          <w:rFonts w:ascii="Times New Roman" w:eastAsia="Times New Roman" w:hAnsi="Times New Roman"/>
          <w:i/>
          <w:iCs/>
          <w:color w:val="000000" w:themeColor="text1"/>
          <w:sz w:val="24"/>
          <w:szCs w:val="24"/>
          <w:lang w:eastAsia="it-IT"/>
        </w:rPr>
        <w:t>l'appalto di opere o servi</w:t>
      </w:r>
      <w:r w:rsidR="00712084">
        <w:rPr>
          <w:rFonts w:ascii="Times New Roman" w:eastAsia="Times New Roman" w:hAnsi="Times New Roman"/>
          <w:i/>
          <w:iCs/>
          <w:color w:val="000000" w:themeColor="text1"/>
          <w:sz w:val="24"/>
          <w:szCs w:val="24"/>
          <w:lang w:eastAsia="it-IT"/>
        </w:rPr>
        <w:t>z</w:t>
      </w:r>
      <w:r w:rsidR="00712084" w:rsidRPr="00712084">
        <w:rPr>
          <w:rFonts w:ascii="Times New Roman" w:eastAsia="Times New Roman" w:hAnsi="Times New Roman"/>
          <w:i/>
          <w:iCs/>
          <w:color w:val="000000" w:themeColor="text1"/>
          <w:sz w:val="24"/>
          <w:szCs w:val="24"/>
          <w:lang w:eastAsia="it-IT"/>
        </w:rPr>
        <w:t xml:space="preserve">i espletato con mere prestazioni di manodopera è lecito purché il </w:t>
      </w:r>
      <w:r w:rsidR="00712084" w:rsidRPr="00BD702F">
        <w:rPr>
          <w:rFonts w:ascii="Times New Roman" w:eastAsia="Times New Roman" w:hAnsi="Times New Roman"/>
          <w:b/>
          <w:bCs/>
          <w:i/>
          <w:iCs/>
          <w:color w:val="000000" w:themeColor="text1"/>
          <w:sz w:val="24"/>
          <w:szCs w:val="24"/>
          <w:lang w:eastAsia="it-IT"/>
        </w:rPr>
        <w:t>requisito della "organizzazione dei mezzi necessari da parte dell'appaltatore",</w:t>
      </w:r>
      <w:r w:rsidR="00712084" w:rsidRPr="00712084">
        <w:rPr>
          <w:rFonts w:ascii="Times New Roman" w:eastAsia="Times New Roman" w:hAnsi="Times New Roman"/>
          <w:i/>
          <w:iCs/>
          <w:color w:val="000000" w:themeColor="text1"/>
          <w:sz w:val="24"/>
          <w:szCs w:val="24"/>
          <w:lang w:eastAsia="it-IT"/>
        </w:rPr>
        <w:t xml:space="preserve"> previsto dall'art. 29 del d.lgs. n. 276 del 2003, costituisca un servizio in sé, svolto con organizzazione e gestione autonoma dell’appaltatore, senza che l'appaltante, al di là del mero coordinamento necessario per la confezione del prodotto, eserciti diretti interventi dispositivi e di controllo sui dipendenti dell'appaltatore</w:t>
      </w:r>
      <w:r w:rsidR="00712084" w:rsidRPr="00712084">
        <w:rPr>
          <w:rFonts w:ascii="Times New Roman" w:eastAsia="Times New Roman" w:hAnsi="Times New Roman"/>
          <w:color w:val="000000" w:themeColor="text1"/>
          <w:sz w:val="24"/>
          <w:szCs w:val="24"/>
          <w:lang w:eastAsia="it-IT"/>
        </w:rPr>
        <w:t>.&gt;&gt;.</w:t>
      </w:r>
    </w:p>
    <w:p w14:paraId="482A2F26" w14:textId="02D06CA4" w:rsidR="004275D9" w:rsidRDefault="00712084" w:rsidP="00712084">
      <w:pPr>
        <w:widowControl w:val="0"/>
        <w:spacing w:after="0" w:line="480" w:lineRule="exact"/>
        <w:jc w:val="both"/>
        <w:rPr>
          <w:rFonts w:ascii="Times New Roman" w:eastAsia="Times New Roman" w:hAnsi="Times New Roman"/>
          <w:b/>
          <w:bCs/>
          <w:color w:val="000000" w:themeColor="text1"/>
          <w:sz w:val="24"/>
          <w:szCs w:val="24"/>
          <w:lang w:eastAsia="it-IT"/>
        </w:rPr>
      </w:pPr>
      <w:r w:rsidRPr="00712084">
        <w:rPr>
          <w:rFonts w:ascii="Times New Roman" w:eastAsia="Times New Roman" w:hAnsi="Times New Roman"/>
          <w:color w:val="000000" w:themeColor="text1"/>
          <w:sz w:val="24"/>
          <w:szCs w:val="24"/>
          <w:lang w:eastAsia="it-IT"/>
        </w:rPr>
        <w:t xml:space="preserve">In particolare, </w:t>
      </w:r>
      <w:r w:rsidRPr="00712084">
        <w:rPr>
          <w:rFonts w:ascii="Times New Roman" w:eastAsia="Times New Roman" w:hAnsi="Times New Roman"/>
          <w:b/>
          <w:bCs/>
          <w:color w:val="000000" w:themeColor="text1"/>
          <w:sz w:val="24"/>
          <w:szCs w:val="24"/>
          <w:lang w:eastAsia="it-IT"/>
        </w:rPr>
        <w:t>la Corte</w:t>
      </w:r>
      <w:r w:rsidRPr="00712084">
        <w:rPr>
          <w:rFonts w:ascii="Times New Roman" w:eastAsia="Times New Roman" w:hAnsi="Times New Roman"/>
          <w:color w:val="000000" w:themeColor="text1"/>
          <w:sz w:val="24"/>
          <w:szCs w:val="24"/>
          <w:lang w:eastAsia="it-IT"/>
        </w:rPr>
        <w:t xml:space="preserve"> - </w:t>
      </w:r>
      <w:r w:rsidR="0023745A">
        <w:rPr>
          <w:rFonts w:ascii="Times New Roman" w:eastAsia="Times New Roman" w:hAnsi="Times New Roman"/>
          <w:color w:val="000000" w:themeColor="text1"/>
          <w:sz w:val="24"/>
          <w:szCs w:val="24"/>
          <w:lang w:eastAsia="it-IT"/>
        </w:rPr>
        <w:t xml:space="preserve"> facendo leva ed evidenziando </w:t>
      </w:r>
      <w:r w:rsidRPr="00712084">
        <w:rPr>
          <w:rFonts w:ascii="Times New Roman" w:eastAsia="Times New Roman" w:hAnsi="Times New Roman"/>
          <w:color w:val="000000" w:themeColor="text1"/>
          <w:sz w:val="24"/>
          <w:szCs w:val="24"/>
          <w:lang w:eastAsia="it-IT"/>
        </w:rPr>
        <w:t>le risultanze probatorie emerse in sede di giudizio del lavoro (relative alle deposizioni di tre testi escussi)</w:t>
      </w:r>
      <w:r w:rsidR="0023745A">
        <w:rPr>
          <w:rFonts w:ascii="Times New Roman" w:eastAsia="Times New Roman" w:hAnsi="Times New Roman"/>
          <w:color w:val="000000" w:themeColor="text1"/>
          <w:sz w:val="24"/>
          <w:szCs w:val="24"/>
          <w:lang w:eastAsia="it-IT"/>
        </w:rPr>
        <w:t xml:space="preserve">, </w:t>
      </w:r>
      <w:r w:rsidRPr="00712084">
        <w:rPr>
          <w:rFonts w:ascii="Times New Roman" w:eastAsia="Times New Roman" w:hAnsi="Times New Roman"/>
          <w:color w:val="000000" w:themeColor="text1"/>
          <w:sz w:val="24"/>
          <w:szCs w:val="24"/>
          <w:lang w:eastAsia="it-IT"/>
        </w:rPr>
        <w:t>da cui era emersa l’assenza di controlli da parte della società contribuente sul personale della cooperativa, l’utilizzo di mezzi propri da parte della cooperativa, la presenza di soggetti della cooperativa che fungevano da coordinatori delle maestranze, una differenziazione delle lavorazioni nonché la presenza di più subappalti presso lo stesso stabilimento –</w:t>
      </w:r>
      <w:r w:rsidRPr="00712084">
        <w:rPr>
          <w:rFonts w:ascii="Times New Roman" w:eastAsia="Times New Roman" w:hAnsi="Times New Roman"/>
          <w:b/>
          <w:bCs/>
          <w:color w:val="000000" w:themeColor="text1"/>
          <w:sz w:val="24"/>
          <w:szCs w:val="24"/>
          <w:lang w:eastAsia="it-IT"/>
        </w:rPr>
        <w:t xml:space="preserve"> ha ritenuto che il rapporto giuridico intercorso tra la società contribuente e la cooperativa, </w:t>
      </w:r>
      <w:r w:rsidR="0023745A">
        <w:rPr>
          <w:rFonts w:ascii="Times New Roman" w:eastAsia="Times New Roman" w:hAnsi="Times New Roman"/>
          <w:b/>
          <w:bCs/>
          <w:color w:val="000000" w:themeColor="text1"/>
          <w:sz w:val="24"/>
          <w:szCs w:val="24"/>
          <w:lang w:eastAsia="it-IT"/>
        </w:rPr>
        <w:t xml:space="preserve">fosse riconducibile ad </w:t>
      </w:r>
      <w:r w:rsidRPr="00712084">
        <w:rPr>
          <w:rFonts w:ascii="Times New Roman" w:eastAsia="Times New Roman" w:hAnsi="Times New Roman"/>
          <w:b/>
          <w:bCs/>
          <w:color w:val="000000" w:themeColor="text1"/>
          <w:sz w:val="24"/>
          <w:szCs w:val="24"/>
          <w:lang w:eastAsia="it-IT"/>
        </w:rPr>
        <w:t xml:space="preserve">un appalto </w:t>
      </w:r>
      <w:r w:rsidR="00B64099">
        <w:rPr>
          <w:rFonts w:ascii="Times New Roman" w:eastAsia="Times New Roman" w:hAnsi="Times New Roman"/>
          <w:b/>
          <w:bCs/>
          <w:color w:val="000000" w:themeColor="text1"/>
          <w:sz w:val="24"/>
          <w:szCs w:val="24"/>
          <w:lang w:eastAsia="it-IT"/>
        </w:rPr>
        <w:t xml:space="preserve">genuino </w:t>
      </w:r>
      <w:r w:rsidRPr="00712084">
        <w:rPr>
          <w:rFonts w:ascii="Times New Roman" w:eastAsia="Times New Roman" w:hAnsi="Times New Roman"/>
          <w:b/>
          <w:bCs/>
          <w:color w:val="000000" w:themeColor="text1"/>
          <w:sz w:val="24"/>
          <w:szCs w:val="24"/>
          <w:lang w:eastAsia="it-IT"/>
        </w:rPr>
        <w:t xml:space="preserve">e non, invece, </w:t>
      </w:r>
      <w:r w:rsidR="0023745A">
        <w:rPr>
          <w:rFonts w:ascii="Times New Roman" w:eastAsia="Times New Roman" w:hAnsi="Times New Roman"/>
          <w:b/>
          <w:bCs/>
          <w:color w:val="000000" w:themeColor="text1"/>
          <w:sz w:val="24"/>
          <w:szCs w:val="24"/>
          <w:lang w:eastAsia="it-IT"/>
        </w:rPr>
        <w:t xml:space="preserve">ad </w:t>
      </w:r>
      <w:r w:rsidRPr="00712084">
        <w:rPr>
          <w:rFonts w:ascii="Times New Roman" w:eastAsia="Times New Roman" w:hAnsi="Times New Roman"/>
          <w:b/>
          <w:bCs/>
          <w:color w:val="000000" w:themeColor="text1"/>
          <w:sz w:val="24"/>
          <w:szCs w:val="24"/>
          <w:lang w:eastAsia="it-IT"/>
        </w:rPr>
        <w:t xml:space="preserve">una somministrazione di manodopera. </w:t>
      </w:r>
    </w:p>
    <w:p w14:paraId="0DFD2CA5" w14:textId="529B4966" w:rsidR="004275D9" w:rsidRPr="0023745A" w:rsidRDefault="004275D9" w:rsidP="00712084">
      <w:pPr>
        <w:widowControl w:val="0"/>
        <w:spacing w:after="0" w:line="480" w:lineRule="exact"/>
        <w:jc w:val="both"/>
        <w:rPr>
          <w:rFonts w:ascii="Times New Roman" w:eastAsia="Times New Roman" w:hAnsi="Times New Roman"/>
          <w:b/>
          <w:bCs/>
          <w:color w:val="000000" w:themeColor="text1"/>
          <w:sz w:val="24"/>
          <w:szCs w:val="24"/>
          <w:lang w:eastAsia="it-IT"/>
        </w:rPr>
      </w:pPr>
      <w:r w:rsidRPr="0023745A">
        <w:rPr>
          <w:rFonts w:ascii="Times New Roman" w:eastAsia="Times New Roman" w:hAnsi="Times New Roman"/>
          <w:b/>
          <w:bCs/>
          <w:color w:val="000000" w:themeColor="text1"/>
          <w:sz w:val="24"/>
          <w:szCs w:val="24"/>
          <w:lang w:eastAsia="it-IT"/>
        </w:rPr>
        <w:t xml:space="preserve">In altri termini, correttamente la Corte di Giustizia di </w:t>
      </w:r>
      <w:r w:rsidR="003C1A1D">
        <w:rPr>
          <w:rFonts w:ascii="Times New Roman" w:eastAsia="Times New Roman" w:hAnsi="Times New Roman"/>
          <w:b/>
          <w:bCs/>
          <w:color w:val="000000" w:themeColor="text1"/>
          <w:sz w:val="24"/>
          <w:szCs w:val="24"/>
          <w:lang w:eastAsia="it-IT"/>
        </w:rPr>
        <w:t>Secondo G</w:t>
      </w:r>
      <w:r w:rsidRPr="0023745A">
        <w:rPr>
          <w:rFonts w:ascii="Times New Roman" w:eastAsia="Times New Roman" w:hAnsi="Times New Roman"/>
          <w:b/>
          <w:bCs/>
          <w:color w:val="000000" w:themeColor="text1"/>
          <w:sz w:val="24"/>
          <w:szCs w:val="24"/>
          <w:lang w:eastAsia="it-IT"/>
        </w:rPr>
        <w:t>rado della Puglia</w:t>
      </w:r>
      <w:r w:rsidR="003C1A1D">
        <w:rPr>
          <w:rFonts w:ascii="Times New Roman" w:eastAsia="Times New Roman" w:hAnsi="Times New Roman"/>
          <w:b/>
          <w:bCs/>
          <w:color w:val="000000" w:themeColor="text1"/>
          <w:sz w:val="24"/>
          <w:szCs w:val="24"/>
          <w:lang w:eastAsia="it-IT"/>
        </w:rPr>
        <w:t xml:space="preserve"> – Sez. staccata di Lecce</w:t>
      </w:r>
      <w:r w:rsidRPr="0023745A">
        <w:rPr>
          <w:rFonts w:ascii="Times New Roman" w:eastAsia="Times New Roman" w:hAnsi="Times New Roman"/>
          <w:b/>
          <w:bCs/>
          <w:color w:val="000000" w:themeColor="text1"/>
          <w:sz w:val="24"/>
          <w:szCs w:val="24"/>
          <w:lang w:eastAsia="it-IT"/>
        </w:rPr>
        <w:t xml:space="preserve">, ha ritenuto che, affinché possa configurarsi un genuino appalto di opere o servizi ai sensi dell'art. 29, comma 1, del d. lgs. n. 276 del 2003, è necessario verificare che </w:t>
      </w:r>
      <w:r w:rsidRPr="0023745A">
        <w:rPr>
          <w:rFonts w:ascii="Times New Roman" w:eastAsia="Times New Roman" w:hAnsi="Times New Roman"/>
          <w:b/>
          <w:bCs/>
          <w:color w:val="000000" w:themeColor="text1"/>
          <w:sz w:val="24"/>
          <w:szCs w:val="24"/>
          <w:lang w:eastAsia="it-IT"/>
        </w:rPr>
        <w:lastRenderedPageBreak/>
        <w:t>all'appaltatore sia stata affidata la realizzazione di un risultato in sé autonomo, da conseguire attraverso una effettiva e autonoma organizzazione del lavoro, con reale assoggettamento al potere direttivo e di controllo sui propri dipendenti, impiego di propri mezzi e assunzione da parte sua del rischio d'impresa, dovendosi invece ravvisare un'interposizione illecita di manodopera nel caso in cui il potere direttivo e organizzativo sia interamente affidato al formale committente.</w:t>
      </w:r>
    </w:p>
    <w:p w14:paraId="368AE815" w14:textId="6B3B4145" w:rsidR="009B4023" w:rsidRPr="004275D9" w:rsidRDefault="009B4023" w:rsidP="009B4023">
      <w:pPr>
        <w:spacing w:after="0" w:line="480" w:lineRule="exact"/>
        <w:jc w:val="both"/>
        <w:rPr>
          <w:rFonts w:ascii="Times New Roman" w:hAnsi="Times New Roman"/>
          <w:color w:val="000000" w:themeColor="text1"/>
          <w:sz w:val="24"/>
          <w:szCs w:val="24"/>
        </w:rPr>
      </w:pPr>
      <w:r w:rsidRPr="004275D9">
        <w:rPr>
          <w:rFonts w:ascii="Times New Roman" w:hAnsi="Times New Roman"/>
          <w:color w:val="000000" w:themeColor="text1"/>
          <w:sz w:val="24"/>
          <w:szCs w:val="24"/>
        </w:rPr>
        <w:t xml:space="preserve">Alla luce delle ampie giustificazioni fornite dalla contribuente, </w:t>
      </w:r>
      <w:r w:rsidR="00D17EC9" w:rsidRPr="004275D9">
        <w:rPr>
          <w:rFonts w:ascii="Times New Roman" w:hAnsi="Times New Roman"/>
          <w:color w:val="000000" w:themeColor="text1"/>
          <w:sz w:val="24"/>
          <w:szCs w:val="24"/>
        </w:rPr>
        <w:t>nonché dei precedenti pronunciati dal Tribunale del Lavoro e dalla CTP di Lecce</w:t>
      </w:r>
      <w:r w:rsidR="003C1A1D">
        <w:rPr>
          <w:rFonts w:ascii="Times New Roman" w:hAnsi="Times New Roman"/>
          <w:color w:val="000000" w:themeColor="text1"/>
          <w:sz w:val="24"/>
          <w:szCs w:val="24"/>
        </w:rPr>
        <w:t xml:space="preserve"> (per l’anno d’imposta 2014)</w:t>
      </w:r>
      <w:r w:rsidR="00D17EC9" w:rsidRPr="004275D9">
        <w:rPr>
          <w:rFonts w:ascii="Times New Roman" w:hAnsi="Times New Roman"/>
          <w:color w:val="000000" w:themeColor="text1"/>
          <w:sz w:val="24"/>
          <w:szCs w:val="24"/>
        </w:rPr>
        <w:t xml:space="preserve">, </w:t>
      </w:r>
      <w:r w:rsidRPr="004275D9">
        <w:rPr>
          <w:rFonts w:ascii="Times New Roman" w:hAnsi="Times New Roman"/>
          <w:color w:val="000000" w:themeColor="text1"/>
          <w:sz w:val="24"/>
          <w:szCs w:val="24"/>
        </w:rPr>
        <w:t>correttamente, quindi, i giudici di secondo grado</w:t>
      </w:r>
      <w:r w:rsidR="00A414C4" w:rsidRPr="004275D9">
        <w:rPr>
          <w:rFonts w:ascii="Times New Roman" w:hAnsi="Times New Roman"/>
          <w:color w:val="000000" w:themeColor="text1"/>
          <w:sz w:val="24"/>
          <w:szCs w:val="24"/>
        </w:rPr>
        <w:t xml:space="preserve"> in riforma della sentenza di primo grado, </w:t>
      </w:r>
      <w:r w:rsidRPr="004275D9">
        <w:rPr>
          <w:rFonts w:ascii="Times New Roman" w:hAnsi="Times New Roman"/>
          <w:color w:val="000000" w:themeColor="text1"/>
          <w:sz w:val="24"/>
          <w:szCs w:val="24"/>
        </w:rPr>
        <w:t xml:space="preserve">hanno accolto le doglianze della società, annullando </w:t>
      </w:r>
      <w:r w:rsidR="00A414C4" w:rsidRPr="004275D9">
        <w:rPr>
          <w:rFonts w:ascii="Times New Roman" w:hAnsi="Times New Roman"/>
          <w:color w:val="000000" w:themeColor="text1"/>
          <w:sz w:val="24"/>
          <w:szCs w:val="24"/>
        </w:rPr>
        <w:t xml:space="preserve">l’avviso di accertamento impugnato </w:t>
      </w:r>
      <w:r w:rsidRPr="004275D9">
        <w:rPr>
          <w:rFonts w:ascii="Times New Roman" w:hAnsi="Times New Roman"/>
          <w:color w:val="000000" w:themeColor="text1"/>
          <w:sz w:val="24"/>
          <w:szCs w:val="24"/>
        </w:rPr>
        <w:t xml:space="preserve">e, peraltro, condannando l’Agenzia delle Entrate alle spese del giudizio. </w:t>
      </w:r>
    </w:p>
    <w:p w14:paraId="3F16D3E9" w14:textId="77777777" w:rsidR="00A414C4" w:rsidRPr="00A414C4" w:rsidRDefault="00A414C4" w:rsidP="009B4023">
      <w:pPr>
        <w:spacing w:after="0" w:line="480" w:lineRule="exact"/>
        <w:jc w:val="both"/>
        <w:rPr>
          <w:rFonts w:ascii="Times New Roman" w:eastAsia="Times New Roman" w:hAnsi="Times New Roman"/>
          <w:b/>
          <w:color w:val="000000" w:themeColor="text1"/>
          <w:sz w:val="24"/>
          <w:szCs w:val="24"/>
          <w:lang w:eastAsia="it-IT"/>
        </w:rPr>
      </w:pPr>
    </w:p>
    <w:p w14:paraId="0ED36DE3" w14:textId="3323B12B" w:rsidR="00A414C4" w:rsidRPr="00A414C4" w:rsidRDefault="009B4023" w:rsidP="009B4023">
      <w:pPr>
        <w:spacing w:after="0" w:line="480" w:lineRule="exact"/>
        <w:jc w:val="both"/>
        <w:rPr>
          <w:rFonts w:ascii="Times New Roman" w:hAnsi="Times New Roman"/>
          <w:color w:val="000000" w:themeColor="text1"/>
          <w:sz w:val="24"/>
          <w:szCs w:val="24"/>
        </w:rPr>
      </w:pPr>
      <w:r w:rsidRPr="00A414C4">
        <w:rPr>
          <w:rFonts w:ascii="Times New Roman" w:eastAsia="Times New Roman" w:hAnsi="Times New Roman"/>
          <w:b/>
          <w:color w:val="000000" w:themeColor="text1"/>
          <w:sz w:val="24"/>
          <w:szCs w:val="24"/>
          <w:lang w:eastAsia="it-IT"/>
        </w:rPr>
        <w:t xml:space="preserve">Lecce, </w:t>
      </w:r>
      <w:r w:rsidR="00A414C4" w:rsidRPr="00A414C4">
        <w:rPr>
          <w:rFonts w:ascii="Times New Roman" w:eastAsia="Times New Roman" w:hAnsi="Times New Roman"/>
          <w:b/>
          <w:color w:val="000000" w:themeColor="text1"/>
          <w:sz w:val="24"/>
          <w:szCs w:val="24"/>
          <w:lang w:eastAsia="it-IT"/>
        </w:rPr>
        <w:t>14</w:t>
      </w:r>
      <w:r w:rsidRPr="00A414C4">
        <w:rPr>
          <w:rFonts w:ascii="Times New Roman" w:eastAsia="Times New Roman" w:hAnsi="Times New Roman"/>
          <w:b/>
          <w:color w:val="000000" w:themeColor="text1"/>
          <w:sz w:val="24"/>
          <w:szCs w:val="24"/>
          <w:lang w:eastAsia="it-IT"/>
        </w:rPr>
        <w:t xml:space="preserve"> </w:t>
      </w:r>
      <w:r w:rsidR="00A414C4" w:rsidRPr="00A414C4">
        <w:rPr>
          <w:rFonts w:ascii="Times New Roman" w:eastAsia="Times New Roman" w:hAnsi="Times New Roman"/>
          <w:b/>
          <w:color w:val="000000" w:themeColor="text1"/>
          <w:sz w:val="24"/>
          <w:szCs w:val="24"/>
          <w:lang w:eastAsia="it-IT"/>
        </w:rPr>
        <w:t>novembre 2022</w:t>
      </w:r>
      <w:r w:rsidRPr="00A414C4">
        <w:rPr>
          <w:rFonts w:ascii="Times New Roman" w:hAnsi="Times New Roman"/>
          <w:color w:val="000000" w:themeColor="text1"/>
          <w:sz w:val="24"/>
          <w:szCs w:val="24"/>
        </w:rPr>
        <w:tab/>
      </w:r>
      <w:r w:rsidRPr="00A414C4">
        <w:rPr>
          <w:rFonts w:ascii="Times New Roman" w:hAnsi="Times New Roman"/>
          <w:color w:val="000000" w:themeColor="text1"/>
          <w:sz w:val="24"/>
          <w:szCs w:val="24"/>
        </w:rPr>
        <w:tab/>
      </w:r>
      <w:r w:rsidRPr="00A414C4">
        <w:rPr>
          <w:rFonts w:ascii="Times New Roman" w:hAnsi="Times New Roman"/>
          <w:color w:val="000000" w:themeColor="text1"/>
          <w:sz w:val="24"/>
          <w:szCs w:val="24"/>
        </w:rPr>
        <w:tab/>
      </w:r>
      <w:r w:rsidRPr="00A414C4">
        <w:rPr>
          <w:rFonts w:ascii="Times New Roman" w:hAnsi="Times New Roman"/>
          <w:color w:val="000000" w:themeColor="text1"/>
          <w:sz w:val="24"/>
          <w:szCs w:val="24"/>
        </w:rPr>
        <w:tab/>
      </w:r>
    </w:p>
    <w:p w14:paraId="09F63544" w14:textId="49E6B7BD" w:rsidR="009B4023" w:rsidRPr="00A414C4" w:rsidRDefault="009B4023" w:rsidP="00A414C4">
      <w:pPr>
        <w:spacing w:after="0" w:line="480" w:lineRule="exact"/>
        <w:jc w:val="right"/>
        <w:rPr>
          <w:rFonts w:ascii="Times New Roman" w:hAnsi="Times New Roman"/>
          <w:b/>
          <w:bCs/>
          <w:color w:val="000000" w:themeColor="text1"/>
          <w:sz w:val="24"/>
          <w:szCs w:val="24"/>
        </w:rPr>
      </w:pPr>
      <w:r w:rsidRPr="00A414C4">
        <w:rPr>
          <w:rFonts w:ascii="Times New Roman" w:hAnsi="Times New Roman"/>
          <w:b/>
          <w:bCs/>
          <w:color w:val="000000" w:themeColor="text1"/>
          <w:sz w:val="24"/>
          <w:szCs w:val="24"/>
        </w:rPr>
        <w:t xml:space="preserve">Avv. </w:t>
      </w:r>
      <w:r w:rsidR="00A414C4" w:rsidRPr="00A414C4">
        <w:rPr>
          <w:rFonts w:ascii="Times New Roman" w:hAnsi="Times New Roman"/>
          <w:b/>
          <w:bCs/>
          <w:color w:val="000000" w:themeColor="text1"/>
          <w:sz w:val="24"/>
          <w:szCs w:val="24"/>
        </w:rPr>
        <w:t xml:space="preserve">Antonella </w:t>
      </w:r>
      <w:r w:rsidRPr="00A414C4">
        <w:rPr>
          <w:rFonts w:ascii="Times New Roman" w:hAnsi="Times New Roman"/>
          <w:b/>
          <w:bCs/>
          <w:color w:val="000000" w:themeColor="text1"/>
          <w:sz w:val="24"/>
          <w:szCs w:val="24"/>
        </w:rPr>
        <w:t>Villani</w:t>
      </w:r>
    </w:p>
    <w:p w14:paraId="456617B1" w14:textId="77777777" w:rsidR="009B4023" w:rsidRDefault="009B4023" w:rsidP="009B4023">
      <w:pPr>
        <w:pStyle w:val="Titolo"/>
        <w:ind w:left="2124" w:firstLine="708"/>
        <w:jc w:val="left"/>
        <w:rPr>
          <w:sz w:val="30"/>
          <w:szCs w:val="30"/>
        </w:rPr>
      </w:pPr>
    </w:p>
    <w:p w14:paraId="78A7BEA9" w14:textId="77777777" w:rsidR="009B4023" w:rsidRDefault="009B4023" w:rsidP="009B4023">
      <w:pPr>
        <w:pStyle w:val="Titolo"/>
        <w:ind w:left="2124" w:firstLine="708"/>
        <w:jc w:val="left"/>
        <w:rPr>
          <w:sz w:val="30"/>
          <w:szCs w:val="30"/>
        </w:rPr>
      </w:pPr>
    </w:p>
    <w:p w14:paraId="564A3FAC" w14:textId="77777777" w:rsidR="009B4023" w:rsidRDefault="009B4023" w:rsidP="009B4023">
      <w:pPr>
        <w:pStyle w:val="Titolo"/>
        <w:ind w:left="2124" w:firstLine="708"/>
        <w:jc w:val="left"/>
        <w:rPr>
          <w:sz w:val="30"/>
          <w:szCs w:val="30"/>
        </w:rPr>
      </w:pPr>
    </w:p>
    <w:p w14:paraId="79798113" w14:textId="77777777" w:rsidR="009B4023" w:rsidRDefault="009B4023" w:rsidP="009B4023">
      <w:pPr>
        <w:pStyle w:val="Titolo"/>
        <w:ind w:left="2124" w:firstLine="708"/>
        <w:jc w:val="left"/>
        <w:rPr>
          <w:sz w:val="30"/>
          <w:szCs w:val="30"/>
        </w:rPr>
      </w:pPr>
    </w:p>
    <w:p w14:paraId="45599CB4" w14:textId="77777777" w:rsidR="009B4023" w:rsidRDefault="009B4023" w:rsidP="009B4023">
      <w:pPr>
        <w:pStyle w:val="Titolo"/>
        <w:ind w:left="2124" w:firstLine="708"/>
        <w:jc w:val="left"/>
        <w:rPr>
          <w:sz w:val="30"/>
          <w:szCs w:val="30"/>
        </w:rPr>
      </w:pPr>
      <w:r>
        <w:rPr>
          <w:sz w:val="30"/>
          <w:szCs w:val="30"/>
        </w:rPr>
        <w:t>AVV. MAURIZIO VILLANI</w:t>
      </w:r>
    </w:p>
    <w:p w14:paraId="19DD8753" w14:textId="77777777" w:rsidR="009B4023" w:rsidRDefault="009B4023" w:rsidP="009B4023">
      <w:pPr>
        <w:pStyle w:val="Titolo6"/>
        <w:ind w:left="1416" w:firstLine="708"/>
        <w:jc w:val="left"/>
        <w:rPr>
          <w:i w:val="0"/>
          <w:iCs w:val="0"/>
          <w:sz w:val="30"/>
          <w:szCs w:val="30"/>
        </w:rPr>
      </w:pPr>
      <w:r>
        <w:rPr>
          <w:i w:val="0"/>
          <w:iCs w:val="0"/>
          <w:sz w:val="30"/>
          <w:szCs w:val="30"/>
        </w:rPr>
        <w:t>Avvocato Tributarista in Lecce</w:t>
      </w:r>
    </w:p>
    <w:p w14:paraId="629D3E23" w14:textId="77777777" w:rsidR="009B4023" w:rsidRDefault="009B4023" w:rsidP="009B4023">
      <w:pPr>
        <w:spacing w:after="0" w:line="240" w:lineRule="auto"/>
        <w:rPr>
          <w:b/>
          <w:sz w:val="30"/>
          <w:szCs w:val="30"/>
        </w:rPr>
      </w:pPr>
      <w:r>
        <w:rPr>
          <w:b/>
          <w:sz w:val="30"/>
          <w:szCs w:val="30"/>
        </w:rPr>
        <w:t xml:space="preserve">                                                  Patrocinante in Cassazione</w:t>
      </w:r>
    </w:p>
    <w:p w14:paraId="4565AD64" w14:textId="77777777" w:rsidR="009B4023" w:rsidRDefault="00000000" w:rsidP="009B4023">
      <w:pPr>
        <w:spacing w:after="0" w:line="240" w:lineRule="auto"/>
        <w:rPr>
          <w:rStyle w:val="Collegamentoipertestuale"/>
          <w:bCs/>
        </w:rPr>
      </w:pPr>
      <w:hyperlink r:id="rId6" w:history="1">
        <w:r w:rsidR="009B4023">
          <w:rPr>
            <w:rStyle w:val="Collegamentoipertestuale"/>
            <w:sz w:val="30"/>
            <w:szCs w:val="30"/>
          </w:rPr>
          <w:t>www.studiotributariovillani.it</w:t>
        </w:r>
      </w:hyperlink>
      <w:r w:rsidR="009B4023">
        <w:rPr>
          <w:b/>
          <w:bCs/>
          <w:sz w:val="30"/>
          <w:szCs w:val="30"/>
        </w:rPr>
        <w:t xml:space="preserve"> - e-mail </w:t>
      </w:r>
      <w:hyperlink r:id="rId7" w:history="1">
        <w:r w:rsidR="009B4023">
          <w:rPr>
            <w:rStyle w:val="Collegamentoipertestuale"/>
            <w:sz w:val="30"/>
            <w:szCs w:val="30"/>
          </w:rPr>
          <w:t>avvocato@studiotributariovillani.it</w:t>
        </w:r>
      </w:hyperlink>
    </w:p>
    <w:p w14:paraId="68B9A5A6" w14:textId="77777777" w:rsidR="009B4023" w:rsidRDefault="009B4023" w:rsidP="009B4023">
      <w:pPr>
        <w:spacing w:after="0" w:line="240" w:lineRule="auto"/>
        <w:rPr>
          <w:rStyle w:val="Collegamentoipertestuale"/>
          <w:b/>
          <w:bCs/>
          <w:sz w:val="30"/>
          <w:szCs w:val="30"/>
        </w:rPr>
      </w:pPr>
    </w:p>
    <w:p w14:paraId="3514C6B8" w14:textId="77777777" w:rsidR="009B4023" w:rsidRDefault="009B4023" w:rsidP="009B4023">
      <w:pPr>
        <w:spacing w:after="0" w:line="240" w:lineRule="auto"/>
        <w:rPr>
          <w:rStyle w:val="Collegamentoipertestuale"/>
          <w:b/>
          <w:bCs/>
          <w:sz w:val="30"/>
          <w:szCs w:val="30"/>
        </w:rPr>
      </w:pPr>
    </w:p>
    <w:p w14:paraId="79184C85" w14:textId="77777777" w:rsidR="009B4023" w:rsidRDefault="009B4023" w:rsidP="009B4023">
      <w:pPr>
        <w:spacing w:after="0" w:line="240" w:lineRule="auto"/>
        <w:rPr>
          <w:rStyle w:val="Collegamentoipertestuale"/>
          <w:b/>
          <w:bCs/>
          <w:sz w:val="30"/>
          <w:szCs w:val="30"/>
        </w:rPr>
      </w:pPr>
    </w:p>
    <w:p w14:paraId="343C75B1" w14:textId="77777777" w:rsidR="009B4023" w:rsidRDefault="009B4023" w:rsidP="009B4023">
      <w:pPr>
        <w:spacing w:after="0" w:line="240" w:lineRule="auto"/>
        <w:rPr>
          <w:rStyle w:val="Collegamentoipertestuale"/>
          <w:b/>
          <w:bCs/>
          <w:sz w:val="30"/>
          <w:szCs w:val="30"/>
        </w:rPr>
      </w:pPr>
    </w:p>
    <w:p w14:paraId="0E7BC605" w14:textId="77777777" w:rsidR="009B4023" w:rsidRDefault="009B4023" w:rsidP="009B4023">
      <w:pPr>
        <w:spacing w:after="0" w:line="240" w:lineRule="auto"/>
        <w:rPr>
          <w:rStyle w:val="Collegamentoipertestuale"/>
          <w:b/>
          <w:bCs/>
          <w:sz w:val="30"/>
          <w:szCs w:val="30"/>
        </w:rPr>
      </w:pPr>
    </w:p>
    <w:p w14:paraId="0FB10810" w14:textId="77777777" w:rsidR="0039047D" w:rsidRDefault="0039047D"/>
    <w:sectPr w:rsidR="0039047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A569" w14:textId="77777777" w:rsidR="00B81BA1" w:rsidRDefault="00B81BA1" w:rsidP="0023745A">
      <w:pPr>
        <w:spacing w:after="0" w:line="240" w:lineRule="auto"/>
      </w:pPr>
      <w:r>
        <w:separator/>
      </w:r>
    </w:p>
  </w:endnote>
  <w:endnote w:type="continuationSeparator" w:id="0">
    <w:p w14:paraId="3836F778" w14:textId="77777777" w:rsidR="00B81BA1" w:rsidRDefault="00B81BA1" w:rsidP="002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1184"/>
      <w:docPartObj>
        <w:docPartGallery w:val="Page Numbers (Bottom of Page)"/>
        <w:docPartUnique/>
      </w:docPartObj>
    </w:sdtPr>
    <w:sdtContent>
      <w:p w14:paraId="564FCF83" w14:textId="692169B5" w:rsidR="0023745A" w:rsidRDefault="0023745A">
        <w:pPr>
          <w:pStyle w:val="Pidipagina"/>
          <w:jc w:val="center"/>
        </w:pPr>
        <w:r>
          <w:fldChar w:fldCharType="begin"/>
        </w:r>
        <w:r>
          <w:instrText>PAGE   \* MERGEFORMAT</w:instrText>
        </w:r>
        <w:r>
          <w:fldChar w:fldCharType="separate"/>
        </w:r>
        <w:r>
          <w:t>2</w:t>
        </w:r>
        <w:r>
          <w:fldChar w:fldCharType="end"/>
        </w:r>
      </w:p>
    </w:sdtContent>
  </w:sdt>
  <w:p w14:paraId="6060DD89" w14:textId="77777777" w:rsidR="0023745A" w:rsidRDefault="002374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439C" w14:textId="77777777" w:rsidR="00B81BA1" w:rsidRDefault="00B81BA1" w:rsidP="0023745A">
      <w:pPr>
        <w:spacing w:after="0" w:line="240" w:lineRule="auto"/>
      </w:pPr>
      <w:r>
        <w:separator/>
      </w:r>
    </w:p>
  </w:footnote>
  <w:footnote w:type="continuationSeparator" w:id="0">
    <w:p w14:paraId="5C564CC0" w14:textId="77777777" w:rsidR="00B81BA1" w:rsidRDefault="00B81BA1" w:rsidP="00237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23"/>
    <w:rsid w:val="00032380"/>
    <w:rsid w:val="000746C0"/>
    <w:rsid w:val="0008467E"/>
    <w:rsid w:val="00112600"/>
    <w:rsid w:val="00174B98"/>
    <w:rsid w:val="0023745A"/>
    <w:rsid w:val="0039047D"/>
    <w:rsid w:val="003C1A1D"/>
    <w:rsid w:val="004275D9"/>
    <w:rsid w:val="00583F05"/>
    <w:rsid w:val="005D471E"/>
    <w:rsid w:val="007022A0"/>
    <w:rsid w:val="00712084"/>
    <w:rsid w:val="00716D54"/>
    <w:rsid w:val="009B4023"/>
    <w:rsid w:val="00A27CF6"/>
    <w:rsid w:val="00A414C4"/>
    <w:rsid w:val="00B64099"/>
    <w:rsid w:val="00B81BA1"/>
    <w:rsid w:val="00BD702F"/>
    <w:rsid w:val="00D17EC9"/>
    <w:rsid w:val="00EB4E18"/>
    <w:rsid w:val="00ED0744"/>
    <w:rsid w:val="00FF7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C1FE"/>
  <w15:chartTrackingRefBased/>
  <w15:docId w15:val="{C15DDDC7-C30F-4C16-A0BB-7094415C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023"/>
    <w:pPr>
      <w:spacing w:after="200" w:line="276" w:lineRule="auto"/>
    </w:pPr>
    <w:rPr>
      <w:rFonts w:ascii="Calibri" w:eastAsia="Calibri" w:hAnsi="Calibri" w:cs="Times New Roman"/>
    </w:rPr>
  </w:style>
  <w:style w:type="paragraph" w:styleId="Titolo6">
    <w:name w:val="heading 6"/>
    <w:basedOn w:val="Normale"/>
    <w:next w:val="Normale"/>
    <w:link w:val="Titolo6Carattere"/>
    <w:semiHidden/>
    <w:unhideWhenUsed/>
    <w:qFormat/>
    <w:rsid w:val="009B4023"/>
    <w:pPr>
      <w:keepNext/>
      <w:spacing w:after="0" w:line="240" w:lineRule="auto"/>
      <w:ind w:left="-1530"/>
      <w:jc w:val="right"/>
      <w:outlineLvl w:val="5"/>
    </w:pPr>
    <w:rPr>
      <w:rFonts w:ascii="Times New Roman" w:eastAsia="Times New Roman" w:hAnsi="Times New Roman"/>
      <w:b/>
      <w:bCs/>
      <w:i/>
      <w:iCs/>
      <w:sz w:val="3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9B4023"/>
    <w:rPr>
      <w:rFonts w:ascii="Times New Roman" w:eastAsia="Times New Roman" w:hAnsi="Times New Roman" w:cs="Times New Roman"/>
      <w:b/>
      <w:bCs/>
      <w:i/>
      <w:iCs/>
      <w:sz w:val="36"/>
      <w:szCs w:val="24"/>
      <w:lang w:eastAsia="it-IT"/>
    </w:rPr>
  </w:style>
  <w:style w:type="character" w:styleId="Collegamentoipertestuale">
    <w:name w:val="Hyperlink"/>
    <w:semiHidden/>
    <w:unhideWhenUsed/>
    <w:rsid w:val="009B4023"/>
    <w:rPr>
      <w:color w:val="0000FF"/>
      <w:u w:val="single"/>
    </w:rPr>
  </w:style>
  <w:style w:type="paragraph" w:styleId="Titolo">
    <w:name w:val="Title"/>
    <w:basedOn w:val="Normale"/>
    <w:link w:val="TitoloCarattere"/>
    <w:qFormat/>
    <w:rsid w:val="009B4023"/>
    <w:pPr>
      <w:spacing w:after="0" w:line="240" w:lineRule="auto"/>
      <w:ind w:left="-1530"/>
      <w:jc w:val="center"/>
    </w:pPr>
    <w:rPr>
      <w:rFonts w:ascii="Times New Roman" w:eastAsia="Times New Roman" w:hAnsi="Times New Roman"/>
      <w:b/>
      <w:bCs/>
      <w:sz w:val="36"/>
      <w:szCs w:val="24"/>
      <w:lang w:eastAsia="it-IT"/>
    </w:rPr>
  </w:style>
  <w:style w:type="character" w:customStyle="1" w:styleId="TitoloCarattere">
    <w:name w:val="Titolo Carattere"/>
    <w:basedOn w:val="Carpredefinitoparagrafo"/>
    <w:link w:val="Titolo"/>
    <w:rsid w:val="009B4023"/>
    <w:rPr>
      <w:rFonts w:ascii="Times New Roman" w:eastAsia="Times New Roman" w:hAnsi="Times New Roman" w:cs="Times New Roman"/>
      <w:b/>
      <w:bCs/>
      <w:sz w:val="36"/>
      <w:szCs w:val="24"/>
      <w:lang w:eastAsia="it-IT"/>
    </w:rPr>
  </w:style>
  <w:style w:type="paragraph" w:styleId="Intestazione">
    <w:name w:val="header"/>
    <w:basedOn w:val="Normale"/>
    <w:link w:val="IntestazioneCarattere"/>
    <w:uiPriority w:val="99"/>
    <w:unhideWhenUsed/>
    <w:rsid w:val="002374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745A"/>
    <w:rPr>
      <w:rFonts w:ascii="Calibri" w:eastAsia="Calibri" w:hAnsi="Calibri" w:cs="Times New Roman"/>
    </w:rPr>
  </w:style>
  <w:style w:type="paragraph" w:styleId="Pidipagina">
    <w:name w:val="footer"/>
    <w:basedOn w:val="Normale"/>
    <w:link w:val="PidipaginaCarattere"/>
    <w:uiPriority w:val="99"/>
    <w:unhideWhenUsed/>
    <w:rsid w:val="002374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4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Villani</dc:creator>
  <cp:keywords/>
  <dc:description/>
  <cp:lastModifiedBy>utente</cp:lastModifiedBy>
  <cp:revision>2</cp:revision>
  <cp:lastPrinted>2022-11-14T12:27:00Z</cp:lastPrinted>
  <dcterms:created xsi:type="dcterms:W3CDTF">2022-11-16T08:06:00Z</dcterms:created>
  <dcterms:modified xsi:type="dcterms:W3CDTF">2022-11-16T08:06:00Z</dcterms:modified>
</cp:coreProperties>
</file>